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8DE1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2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</w:p>
    <w:p w14:paraId="18088DE3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  <w:r w:rsidRPr="00B955AB"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  <w:t>Selectiecriteria</w:t>
      </w:r>
    </w:p>
    <w:p w14:paraId="18088DE4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5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586BC5DC" w14:textId="77777777" w:rsidR="00711D19" w:rsidRDefault="00B955AB" w:rsidP="00711D19">
      <w:pPr>
        <w:spacing w:before="100" w:beforeAutospacing="1" w:after="100" w:afterAutospacing="1"/>
        <w:rPr>
          <w:rFonts w:ascii="Garamond" w:eastAsia="Times New Roman" w:hAnsi="Garamond" w:cs="Times New Roman"/>
          <w:lang w:val="nl-NL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Om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ontvankelijk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te zijn, moet het project beantwoorden aan het voorwerp van de oproep zoals beschreven op deze website en mag het niet van commerciële aard zijn. </w:t>
      </w:r>
      <w:r w:rsidR="00711D19" w:rsidRPr="00C50B0B">
        <w:rPr>
          <w:rFonts w:ascii="Garamond" w:eastAsia="Times New Roman" w:hAnsi="Garamond" w:cs="Times New Roman"/>
          <w:lang w:val="nl-NL"/>
        </w:rPr>
        <w:t>Alle projecten moeten worden uitgevoerd in een land waar Solvay actief is (</w:t>
      </w:r>
      <w:hyperlink r:id="rId11" w:history="1">
        <w:r w:rsidR="00711D19" w:rsidRPr="00973463">
          <w:rPr>
            <w:rStyle w:val="Hyperlink"/>
            <w:rFonts w:ascii="Garamond" w:eastAsia="Times New Roman" w:hAnsi="Garamond" w:cs="Times New Roman"/>
            <w:lang w:val="nl-NL"/>
          </w:rPr>
          <w:t>https://www.solvay.com/en/solvay-around-the-world</w:t>
        </w:r>
      </w:hyperlink>
      <w:r w:rsidR="00711D19" w:rsidRPr="00C50B0B">
        <w:rPr>
          <w:rFonts w:ascii="Garamond" w:eastAsia="Times New Roman" w:hAnsi="Garamond" w:cs="Times New Roman"/>
          <w:lang w:val="nl-NL"/>
        </w:rPr>
        <w:t xml:space="preserve">). </w:t>
      </w:r>
    </w:p>
    <w:p w14:paraId="18088DE7" w14:textId="77777777" w:rsidR="00F1106C" w:rsidRDefault="00F1106C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8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Bij de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>selectie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 zal de jury aandacht besteden aan de volgende criteria:</w:t>
      </w:r>
    </w:p>
    <w:p w14:paraId="18088DE9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A" w14:textId="77777777" w:rsidR="00B955AB" w:rsidRPr="00B955AB" w:rsidRDefault="007E0AEC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-  </w:t>
      </w:r>
      <w:r w:rsidR="00B955AB"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de mogelijke </w:t>
      </w:r>
      <w:r w:rsidR="00B955AB" w:rsidRPr="00B955AB">
        <w:rPr>
          <w:rFonts w:ascii="Garamond" w:eastAsia="Times New Roman" w:hAnsi="Garamond" w:cs="Arial"/>
          <w:color w:val="222222"/>
          <w:lang w:val="nl-BE" w:eastAsia="nl-BE"/>
        </w:rPr>
        <w:t>impact en het vernieuwende karakter van het project</w:t>
      </w:r>
    </w:p>
    <w:p w14:paraId="18088DEB" w14:textId="77777777" w:rsidR="008605B6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7E0AE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het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 project moet duidelijk, concreet en realistisch zijn</w:t>
      </w:r>
      <w:r w:rsidR="008605B6">
        <w:rPr>
          <w:rFonts w:ascii="Garamond" w:eastAsia="Times New Roman" w:hAnsi="Garamond" w:cs="Arial"/>
          <w:color w:val="222222"/>
          <w:lang w:val="nl-BE" w:eastAsia="nl-BE"/>
        </w:rPr>
        <w:t>.</w:t>
      </w:r>
    </w:p>
    <w:p w14:paraId="18088DEC" w14:textId="77777777" w:rsidR="00171AA7" w:rsidRPr="00B47FE7" w:rsidRDefault="00171AA7" w:rsidP="00171AA7">
      <w:pPr>
        <w:pStyle w:val="ListParagraph"/>
        <w:rPr>
          <w:rFonts w:ascii="Garamond" w:eastAsia="Times New Roman" w:hAnsi="Garamond"/>
          <w:lang w:val="nl-BE"/>
        </w:rPr>
      </w:pPr>
    </w:p>
    <w:p w14:paraId="18088DED" w14:textId="77777777" w:rsidR="008605B6" w:rsidRPr="008B5491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Het moet mogelijk zijn om het uit te voeren met de opgegeven financiering en timing</w:t>
      </w:r>
    </w:p>
    <w:p w14:paraId="18088DEE" w14:textId="77777777" w:rsidR="00171AA7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De korte beschrijving van het initiatief moet duidelijk geformu</w:t>
      </w:r>
      <w:r w:rsidR="00B47FE7"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leerd zijn en de kandidaat moet precies </w:t>
      </w:r>
      <w:r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meedelen voor welke uitgaven de steun door het Fonds zal worden aangewend.  </w:t>
      </w:r>
    </w:p>
    <w:p w14:paraId="18088DEF" w14:textId="77777777" w:rsidR="00D30A63" w:rsidRPr="00605B28" w:rsidRDefault="00D30A63" w:rsidP="00605B28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0" w14:textId="77777777" w:rsidR="00B955AB" w:rsidRPr="00605B28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1" w14:textId="77777777" w:rsidR="00F1106C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  <w:r w:rsidR="007E0AEC">
        <w:rPr>
          <w:rFonts w:ascii="Garamond" w:eastAsia="Times New Roman" w:hAnsi="Garamond" w:cs="Times New Roman"/>
          <w:color w:val="222222"/>
          <w:lang w:val="nl-BE" w:eastAsia="nl-BE"/>
        </w:rPr>
        <w:t xml:space="preserve"> </w:t>
      </w: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de 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financiering door het Fonds </w:t>
      </w:r>
    </w:p>
    <w:p w14:paraId="18088DF2" w14:textId="77777777" w:rsidR="007E0AEC" w:rsidRDefault="007E0AEC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3" w14:textId="77777777" w:rsidR="00B955AB" w:rsidRDefault="00B955AB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mag complementair zijn, maar mag niet in de plaats treden van</w:t>
      </w:r>
      <w:r w:rsidR="00F1106C"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een </w:t>
      </w:r>
      <w:r w:rsidR="00F1106C">
        <w:rPr>
          <w:rFonts w:ascii="Garamond" w:eastAsia="Times New Roman" w:hAnsi="Garamond" w:cs="Arial"/>
          <w:color w:val="222222"/>
          <w:lang w:val="nl-BE" w:eastAsia="nl-BE"/>
        </w:rPr>
        <w:t>o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>verheidsfinanciering</w:t>
      </w:r>
    </w:p>
    <w:p w14:paraId="18088DF4" w14:textId="17E2DB25" w:rsidR="00F1106C" w:rsidRPr="00F1106C" w:rsidRDefault="00F1106C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dekt de uitgaven die noodzakelijk zijn voor het uitvoeren van het project, niet de sponsoringsui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tgaven </w:t>
      </w:r>
      <w:r w:rsidR="00C31BDB">
        <w:rPr>
          <w:rFonts w:ascii="Garamond" w:eastAsia="Times New Roman" w:hAnsi="Garamond" w:cs="Arial"/>
          <w:color w:val="222222"/>
          <w:lang w:val="nl-BE" w:eastAsia="nl-BE"/>
        </w:rPr>
        <w:t>i.v.m.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marketing of reclame</w:t>
      </w:r>
      <w:r w:rsidR="00F01DBF" w:rsidRPr="002F4829">
        <w:rPr>
          <w:rFonts w:ascii="Garamond" w:eastAsia="Times New Roman" w:hAnsi="Garamond" w:cs="Arial"/>
          <w:color w:val="222222"/>
          <w:lang w:val="nl-BE" w:eastAsia="nl-BE"/>
        </w:rPr>
        <w:t>, noch de logistieke kosten.</w:t>
      </w:r>
    </w:p>
    <w:p w14:paraId="18088DF5" w14:textId="760E6FA2" w:rsidR="00B955AB" w:rsidRDefault="002F4829" w:rsidP="00F01DBF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Moet van cruciaal belang zijn voor het welslagen van het project. </w:t>
      </w:r>
      <w:r w:rsidR="00A16A4F">
        <w:rPr>
          <w:rFonts w:ascii="Garamond" w:eastAsia="Times New Roman" w:hAnsi="Garamond" w:cs="Arial"/>
          <w:color w:val="222222"/>
          <w:lang w:val="nl-BE" w:eastAsia="nl-BE"/>
        </w:rPr>
        <w:t>De jury</w:t>
      </w: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 xml:space="preserve">zal 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die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>projecten selecteren waarbij de door het Fonds verleende steun echt een verschil maakt voor de begunstigde organisatie.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</w:p>
    <w:p w14:paraId="18088DF6" w14:textId="0A68CAB2" w:rsidR="00B955AB" w:rsidRPr="00B955AB" w:rsidRDefault="00B955AB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>G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>elieve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230F84" w:rsidRPr="00230F84">
        <w:rPr>
          <w:rFonts w:ascii="Garamond" w:eastAsia="Times New Roman" w:hAnsi="Garamond" w:cs="Arial"/>
          <w:b/>
          <w:color w:val="222222"/>
          <w:lang w:val="nl-BE" w:eastAsia="nl-BE"/>
        </w:rPr>
        <w:t>rekening te houden met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deze elementen in uw kandidaatsdossier,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dat het enige instrument is waarover de jury beschikt om te oordelen.</w:t>
      </w:r>
    </w:p>
    <w:p w14:paraId="18088DF7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</w:p>
    <w:p w14:paraId="18088DF8" w14:textId="77777777" w:rsidR="00B955AB" w:rsidRPr="00B955AB" w:rsidRDefault="00B955AB" w:rsidP="00B955AB">
      <w:pPr>
        <w:rPr>
          <w:rFonts w:ascii="Garamond" w:hAnsi="Garamond"/>
          <w:lang w:val="nl-BE"/>
        </w:rPr>
      </w:pPr>
    </w:p>
    <w:p w14:paraId="18088DF9" w14:textId="77777777" w:rsidR="008D2841" w:rsidRPr="00B955AB" w:rsidRDefault="008D2841" w:rsidP="00236F4E">
      <w:pPr>
        <w:rPr>
          <w:rFonts w:ascii="Garamond" w:hAnsi="Garamond"/>
          <w:lang w:val="nl-BE"/>
        </w:rPr>
      </w:pPr>
    </w:p>
    <w:sectPr w:rsidR="008D2841" w:rsidRPr="00B955AB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A05B" w14:textId="77777777" w:rsidR="00AB3BFA" w:rsidRDefault="00AB3BFA" w:rsidP="002A52E7">
      <w:r>
        <w:separator/>
      </w:r>
    </w:p>
  </w:endnote>
  <w:endnote w:type="continuationSeparator" w:id="0">
    <w:p w14:paraId="738806C1" w14:textId="77777777" w:rsidR="00AB3BFA" w:rsidRDefault="00AB3BFA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8DFF" w14:textId="77777777" w:rsidR="00621F60" w:rsidRDefault="00621F6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088E02" wp14:editId="18088E0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8" w14:textId="77777777" w:rsidR="00621F60" w:rsidRDefault="00621F60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8088E09" wp14:editId="18088E0A">
                                <wp:extent cx="4319016" cy="719328"/>
                                <wp:effectExtent l="0" t="0" r="0" b="0"/>
                                <wp:docPr id="6" name="Picture 2" descr="JOKKESPEK:JOHAN:jobs:KBS:2013:sept2013:word_KBS_sept:def:jpgs footers:footer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OKKESPEK:JOHAN:jobs:KBS:2013:sept2013:word_KBS_sept:def:jpgs footers:footer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88E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zdAIAAF4FAAAOAAAAZHJzL2Uyb0RvYy54bWysVFtv0zAUfkfiP1h+Z2mqdoxq6VQ2DSFN&#10;20SH9uw6dhvhm2yvSfn1fHbSrhRehnhJjs/5zv1yedVpRbbCh8aaipZnI0qE4bZuzLqi359uP1xQ&#10;EiIzNVPWiIruRKBX8/fvLls3E2O7saoWnsCICbPWVXQTo5sVReAboVk4s04YCKX1mkU8/bqoPWth&#10;XatiPBqdF631tfOWixDAvemFdJ7tSyl4fJAyiEhURRFbzF+fv6v0LeaXbLb2zG0aPoTB/iEKzRoD&#10;pwdTNywy8uKbP0zphnsbrIxn3OrCStlwkXNANuXoJJvlhjmRc0FxgjuUKfw/s/x+++hJU1d0Solh&#10;Gi16El0kn21Hpqk6rQszgJYOsNiBjS7v+QHMlHQnvU5/pEMgR513h9omYxzMyXRUTks44ZBdlKPx&#10;eS5+8artfIhfhNUkERX16F0uKdvehYhIAN1DkjNjbxulcv+U+Y0BYM8ReQAG7ZRIH3Cm4k6JpKXM&#10;NyFRgBx3YuTRE9fKky3D0DDOhYk55WwX6ISS8P0WxQGfVPuo3qJ80MierYkHZd0Y63OVTsKuf+xD&#10;lj0e9TvKO5GxW3W584d+rmy9Q5u97dckOH7boBd3LMRH5rEX6Cx2PT7gI5VtK2oHipKN9T//xk94&#10;jCuklLTYs4oaHAJK1FeDMf5UTiZpLfNjMv04xsMfS1bHEvOiry16UuKmOJ7JhI9qT0pv9TMOwiL5&#10;hIgZDs8VjXvyOva7j4PCxWKRQVhEx+KdWTqeTKcapzl76p6Zd8MwRozxvd3vI5udzGSPTZrBLV4i&#10;JjMPbKpyX9Oh+ljiPMfDwUlX4vidUa9ncf4LAAD//wMAUEsDBBQABgAIAAAAIQCMdBki3wAAAAoB&#10;AAAPAAAAZHJzL2Rvd25yZXYueG1sTI/BTsMwDIbvSLxDZCRuW9rSbV3XdEIDzozBA2St15Q2TtVk&#10;W+HpMSe42fKn399fbCfbiwuOvnWkIJ5HIJAqV7fUKPh4f5llIHzQVOveESr4Qg/b8vam0HntrvSG&#10;l0NoBIeQz7UCE8KQS+krg1b7uRuQ+HZyo9WB17GR9aivHG57mUTRUlrdEn8wesCdwao7nK2CLLKv&#10;XbdO9t6m3/HC7J7c8/Cp1P3d9LgBEXAKfzD86rM6lOx0dGeqvegVzJLVmlEeVg8JCCaWWcztjgoW&#10;aQqyLOT/CuUPAAAA//8DAFBLAQItABQABgAIAAAAIQC2gziS/gAAAOEBAAATAAAAAAAAAAAAAAAA&#10;AAAAAABbQ29udGVudF9UeXBlc10ueG1sUEsBAi0AFAAGAAgAAAAhADj9If/WAAAAlAEAAAsAAAAA&#10;AAAAAAAAAAAALwEAAF9yZWxzLy5yZWxzUEsBAi0AFAAGAAgAAAAhACYpg/N0AgAAXgUAAA4AAAAA&#10;AAAAAAAAAAAALgIAAGRycy9lMm9Eb2MueG1sUEsBAi0AFAAGAAgAAAAhAIx0GSLfAAAACgEAAA8A&#10;AAAAAAAAAAAAAAAAzgQAAGRycy9kb3ducmV2LnhtbFBLBQYAAAAABAAEAPMAAADaBQAAAAA=&#10;" filled="f" stroked="f">
              <v:textbox style="mso-fit-shape-to-text:t">
                <w:txbxContent>
                  <w:p w14:paraId="18088E08" w14:textId="77777777" w:rsidR="00621F60" w:rsidRDefault="00621F60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8088E09" wp14:editId="18088E0A">
                          <wp:extent cx="4319016" cy="719328"/>
                          <wp:effectExtent l="0" t="0" r="0" b="0"/>
                          <wp:docPr id="6" name="Picture 2" descr="JOKKESPEK:JOHAN:jobs:KBS:2013:sept2013:word_KBS_sept:def:jpgs footers:foote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OKKESPEK:JOHAN:jobs:KBS:2013:sept2013:word_KBS_sept:def:jpgs footers:footer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80C2" w14:textId="77777777" w:rsidR="00AB3BFA" w:rsidRDefault="00AB3BFA" w:rsidP="002A52E7">
      <w:r>
        <w:separator/>
      </w:r>
    </w:p>
  </w:footnote>
  <w:footnote w:type="continuationSeparator" w:id="0">
    <w:p w14:paraId="4FCF9BD5" w14:textId="77777777" w:rsidR="00AB3BFA" w:rsidRDefault="00AB3BFA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8DFE" w14:textId="77777777" w:rsidR="00621F60" w:rsidRDefault="00621F6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88E00" wp14:editId="18088E0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4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18088E05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E1B5D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Ernest Solvay</w:t>
                          </w:r>
                        </w:p>
                        <w:p w14:paraId="18088E06" w14:textId="77777777" w:rsidR="00621F60" w:rsidRPr="009B0E73" w:rsidRDefault="00621F6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18088E07" w14:textId="77777777" w:rsidR="00621F60" w:rsidRPr="00A4275D" w:rsidRDefault="00621F6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8E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18088E04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18088E05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E1B5D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Ernest Solvay</w:t>
                    </w:r>
                  </w:p>
                  <w:p w14:paraId="18088E06" w14:textId="77777777" w:rsidR="00621F60" w:rsidRPr="009B0E73" w:rsidRDefault="00621F6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18088E07" w14:textId="77777777" w:rsidR="00621F60" w:rsidRPr="00A4275D" w:rsidRDefault="00621F6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607ED"/>
    <w:multiLevelType w:val="hybridMultilevel"/>
    <w:tmpl w:val="9F8E81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ADA"/>
    <w:multiLevelType w:val="hybridMultilevel"/>
    <w:tmpl w:val="E4F07592"/>
    <w:lvl w:ilvl="0" w:tplc="6FCEA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321"/>
    <w:multiLevelType w:val="hybridMultilevel"/>
    <w:tmpl w:val="A38472A6"/>
    <w:lvl w:ilvl="0" w:tplc="261A26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B5D"/>
    <w:rsid w:val="00014667"/>
    <w:rsid w:val="00033D71"/>
    <w:rsid w:val="000A1EE7"/>
    <w:rsid w:val="000A349E"/>
    <w:rsid w:val="000B0CC6"/>
    <w:rsid w:val="000B75DC"/>
    <w:rsid w:val="000D00EC"/>
    <w:rsid w:val="00122878"/>
    <w:rsid w:val="00134194"/>
    <w:rsid w:val="00162A63"/>
    <w:rsid w:val="00171AA7"/>
    <w:rsid w:val="00171CC9"/>
    <w:rsid w:val="001F652F"/>
    <w:rsid w:val="00206EC5"/>
    <w:rsid w:val="00230F84"/>
    <w:rsid w:val="00236F4E"/>
    <w:rsid w:val="00272D40"/>
    <w:rsid w:val="00293858"/>
    <w:rsid w:val="002A52E7"/>
    <w:rsid w:val="002C372A"/>
    <w:rsid w:val="002F4829"/>
    <w:rsid w:val="00323914"/>
    <w:rsid w:val="00331A16"/>
    <w:rsid w:val="00371854"/>
    <w:rsid w:val="00392206"/>
    <w:rsid w:val="003A0C3D"/>
    <w:rsid w:val="004558A5"/>
    <w:rsid w:val="004672C6"/>
    <w:rsid w:val="004C6F38"/>
    <w:rsid w:val="004E0237"/>
    <w:rsid w:val="00522A58"/>
    <w:rsid w:val="005C131D"/>
    <w:rsid w:val="00605B28"/>
    <w:rsid w:val="00610DA4"/>
    <w:rsid w:val="00621F60"/>
    <w:rsid w:val="00630EE6"/>
    <w:rsid w:val="00711D19"/>
    <w:rsid w:val="007E0AEC"/>
    <w:rsid w:val="008605B6"/>
    <w:rsid w:val="008B5491"/>
    <w:rsid w:val="008C70D0"/>
    <w:rsid w:val="008D2841"/>
    <w:rsid w:val="008E1B5D"/>
    <w:rsid w:val="009511DD"/>
    <w:rsid w:val="009B0E73"/>
    <w:rsid w:val="009C1505"/>
    <w:rsid w:val="009E2035"/>
    <w:rsid w:val="00A16A4F"/>
    <w:rsid w:val="00A4275D"/>
    <w:rsid w:val="00A756F3"/>
    <w:rsid w:val="00AB2BC2"/>
    <w:rsid w:val="00AB3BFA"/>
    <w:rsid w:val="00AC3007"/>
    <w:rsid w:val="00AE19A7"/>
    <w:rsid w:val="00B15A55"/>
    <w:rsid w:val="00B21291"/>
    <w:rsid w:val="00B47FE7"/>
    <w:rsid w:val="00B51846"/>
    <w:rsid w:val="00B955AB"/>
    <w:rsid w:val="00BB09FE"/>
    <w:rsid w:val="00C072BC"/>
    <w:rsid w:val="00C101A8"/>
    <w:rsid w:val="00C31BDB"/>
    <w:rsid w:val="00D17D80"/>
    <w:rsid w:val="00D3015C"/>
    <w:rsid w:val="00D30A63"/>
    <w:rsid w:val="00D937EA"/>
    <w:rsid w:val="00E24A12"/>
    <w:rsid w:val="00E65BD8"/>
    <w:rsid w:val="00E86AAE"/>
    <w:rsid w:val="00E941E5"/>
    <w:rsid w:val="00ED3A4B"/>
    <w:rsid w:val="00F01DBF"/>
    <w:rsid w:val="00F1106C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088DE1"/>
  <w14:defaultImageDpi w14:val="300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3" ma:contentTypeDescription="Create a new document." ma:contentTypeScope="" ma:versionID="50976cccae670dfdba696ddd3356efc7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cdae7969e2af010bca8aba2c15a9b509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F3F31-7117-405E-B7E9-E90D71D30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1FDC2-E29D-42F7-8206-FAC0B116C5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A321C-8FDC-4A8E-A9C9-43C8A30F4062}"/>
</file>

<file path=customXml/itemProps4.xml><?xml version="1.0" encoding="utf-8"?>
<ds:datastoreItem xmlns:ds="http://schemas.openxmlformats.org/officeDocument/2006/customXml" ds:itemID="{74C45D05-3E5B-45C3-AE20-06D9E990F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11</cp:revision>
  <cp:lastPrinted>2015-04-10T07:29:00Z</cp:lastPrinted>
  <dcterms:created xsi:type="dcterms:W3CDTF">2018-12-06T10:58:00Z</dcterms:created>
  <dcterms:modified xsi:type="dcterms:W3CDTF">2021-06-03T17:23:00Z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</Properties>
</file>