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BE07" w14:textId="77777777" w:rsidR="00AB2C1B" w:rsidRDefault="00AB2C1B">
      <w:pPr>
        <w:rPr>
          <w:lang w:val="fr-BE"/>
        </w:rPr>
      </w:pPr>
    </w:p>
    <w:p w14:paraId="48B69AC4" w14:textId="28EB2D7B" w:rsidR="002D53E9" w:rsidRDefault="002D53E9" w:rsidP="004252C6">
      <w:pPr>
        <w:rPr>
          <w:b/>
          <w:bCs/>
          <w:sz w:val="32"/>
          <w:szCs w:val="32"/>
          <w:lang w:val="fr-BE"/>
        </w:rPr>
      </w:pPr>
    </w:p>
    <w:p w14:paraId="63F3A5F0" w14:textId="44F366AB" w:rsidR="00A133B9" w:rsidRDefault="00A133B9" w:rsidP="00A133B9">
      <w:pPr>
        <w:jc w:val="center"/>
        <w:rPr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Note aux candidats</w:t>
      </w:r>
    </w:p>
    <w:p w14:paraId="1531C926" w14:textId="77777777" w:rsidR="00A133B9" w:rsidRDefault="00A133B9" w:rsidP="00A133B9">
      <w:pPr>
        <w:rPr>
          <w:b/>
          <w:bCs/>
          <w:sz w:val="28"/>
          <w:szCs w:val="28"/>
          <w:lang w:val="fr-BE"/>
        </w:rPr>
      </w:pPr>
    </w:p>
    <w:p w14:paraId="31FE6BEE" w14:textId="77777777" w:rsidR="00A133B9" w:rsidRDefault="00A133B9" w:rsidP="00A133B9">
      <w:pPr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522092E5" w14:textId="77777777" w:rsidR="0078204F" w:rsidRDefault="0078204F" w:rsidP="0078204F">
      <w:pPr>
        <w:rPr>
          <w:lang w:val="fr-BE"/>
        </w:rPr>
      </w:pPr>
    </w:p>
    <w:p w14:paraId="7E927DB3" w14:textId="77777777" w:rsidR="0078204F" w:rsidRDefault="0078204F" w:rsidP="0078204F">
      <w:pPr>
        <w:rPr>
          <w:b/>
          <w:bCs/>
          <w:sz w:val="28"/>
          <w:szCs w:val="28"/>
          <w:lang w:val="fr-BE"/>
        </w:rPr>
      </w:pPr>
    </w:p>
    <w:tbl>
      <w:tblPr>
        <w:tblW w:w="947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3A4808" w:rsidRPr="0070487A" w14:paraId="0B917522" w14:textId="77777777" w:rsidTr="003A4808">
        <w:trPr>
          <w:trHeight w:val="4543"/>
        </w:trPr>
        <w:tc>
          <w:tcPr>
            <w:tcW w:w="9479" w:type="dxa"/>
          </w:tcPr>
          <w:p w14:paraId="1909AA2A" w14:textId="77777777" w:rsidR="003A4808" w:rsidRDefault="003A4808" w:rsidP="003A4808">
            <w:pPr>
              <w:ind w:left="186"/>
              <w:rPr>
                <w:b/>
                <w:bCs/>
                <w:sz w:val="28"/>
                <w:szCs w:val="28"/>
                <w:lang w:val="fr-BE"/>
              </w:rPr>
            </w:pPr>
          </w:p>
          <w:p w14:paraId="4ED364F7" w14:textId="4F80BE19" w:rsidR="003A4808" w:rsidRDefault="003A4808" w:rsidP="003A4808">
            <w:pPr>
              <w:ind w:left="186"/>
              <w:rPr>
                <w:lang w:val="fr-BE"/>
              </w:rPr>
            </w:pPr>
            <w:r>
              <w:rPr>
                <w:b/>
                <w:bCs/>
                <w:sz w:val="28"/>
                <w:szCs w:val="28"/>
                <w:lang w:val="fr-BE"/>
              </w:rPr>
              <w:t>Préambule</w:t>
            </w:r>
          </w:p>
          <w:p w14:paraId="1ED53AA3" w14:textId="77777777" w:rsidR="003A4808" w:rsidRDefault="003A4808" w:rsidP="003A4808">
            <w:pPr>
              <w:ind w:left="186"/>
              <w:rPr>
                <w:lang w:val="fr-BE"/>
              </w:rPr>
            </w:pPr>
          </w:p>
          <w:p w14:paraId="7537500F" w14:textId="77777777" w:rsidR="003A4808" w:rsidRDefault="003A4808" w:rsidP="003A4808">
            <w:pPr>
              <w:ind w:left="186"/>
              <w:rPr>
                <w:lang w:val="fr-BE"/>
              </w:rPr>
            </w:pPr>
            <w:r>
              <w:rPr>
                <w:lang w:val="fr-BE"/>
              </w:rPr>
              <w:t xml:space="preserve">En raison de l’actualité, le Comité a décidé de soutenir les différents domaines précisés par Michel Lemay sous le signe de la crise sanitaire Covid 19. </w:t>
            </w:r>
          </w:p>
          <w:p w14:paraId="66074F46" w14:textId="77777777" w:rsidR="003A4808" w:rsidRDefault="003A4808" w:rsidP="003A4808">
            <w:pPr>
              <w:numPr>
                <w:ilvl w:val="0"/>
                <w:numId w:val="25"/>
              </w:numPr>
              <w:tabs>
                <w:tab w:val="clear" w:pos="2835"/>
                <w:tab w:val="clear" w:pos="6804"/>
              </w:tabs>
              <w:ind w:left="906"/>
              <w:rPr>
                <w:lang w:val="fr-BE"/>
              </w:rPr>
            </w:pPr>
            <w:r>
              <w:rPr>
                <w:lang w:val="fr-BE"/>
              </w:rPr>
              <w:t xml:space="preserve">Dans le domaine </w:t>
            </w:r>
            <w:r w:rsidRPr="00A8181B">
              <w:rPr>
                <w:b/>
                <w:bCs/>
                <w:i/>
                <w:iCs/>
                <w:lang w:val="fr-BE"/>
              </w:rPr>
              <w:t>social</w:t>
            </w:r>
            <w:r>
              <w:rPr>
                <w:lang w:val="fr-BE"/>
              </w:rPr>
              <w:t xml:space="preserve"> le Fonds a </w:t>
            </w:r>
            <w:r w:rsidRPr="0078204F">
              <w:rPr>
                <w:lang w:val="fr-BE"/>
              </w:rPr>
              <w:t xml:space="preserve">apporté sa contribution à l’appel d’urgence lancé par la Fondation Roi Baudouin à destination des organisations de lutte contre la pauvreté et le sans-abrisme. </w:t>
            </w:r>
            <w:r>
              <w:rPr>
                <w:lang w:val="fr-BE"/>
              </w:rPr>
              <w:t xml:space="preserve"> Il a pu soutenir 5 associations de la Wallonie Picarde qui avaient introduit un dossier dans le cadre de cet appel </w:t>
            </w:r>
          </w:p>
          <w:p w14:paraId="41792C23" w14:textId="77777777" w:rsidR="003A4808" w:rsidRPr="00EB5F6D" w:rsidRDefault="003A4808" w:rsidP="003A4808">
            <w:pPr>
              <w:numPr>
                <w:ilvl w:val="0"/>
                <w:numId w:val="25"/>
              </w:numPr>
              <w:tabs>
                <w:tab w:val="clear" w:pos="2835"/>
                <w:tab w:val="clear" w:pos="6804"/>
              </w:tabs>
              <w:ind w:left="906"/>
              <w:rPr>
                <w:b/>
                <w:bCs/>
                <w:sz w:val="28"/>
                <w:szCs w:val="28"/>
                <w:lang w:val="fr-BE"/>
              </w:rPr>
            </w:pPr>
            <w:r w:rsidRPr="00EB5F6D">
              <w:rPr>
                <w:lang w:val="fr-BE"/>
              </w:rPr>
              <w:t xml:space="preserve">Dans le domaine </w:t>
            </w:r>
            <w:r w:rsidRPr="00A8181B">
              <w:rPr>
                <w:b/>
                <w:bCs/>
                <w:i/>
                <w:iCs/>
                <w:lang w:val="fr-BE"/>
              </w:rPr>
              <w:t>économique</w:t>
            </w:r>
            <w:r w:rsidRPr="00EB5F6D">
              <w:rPr>
                <w:lang w:val="fr-BE"/>
              </w:rPr>
              <w:t>, le Fonds a répondu à une sollicitation de la Région visant à soutenir un projet citoyen au bénéfice des PME et commerçants en Wallonie Picarde.</w:t>
            </w:r>
          </w:p>
          <w:p w14:paraId="609F1048" w14:textId="77777777" w:rsidR="003A4808" w:rsidRDefault="003A4808" w:rsidP="003A4808">
            <w:pPr>
              <w:tabs>
                <w:tab w:val="clear" w:pos="2835"/>
                <w:tab w:val="clear" w:pos="6804"/>
              </w:tabs>
              <w:ind w:left="186"/>
              <w:rPr>
                <w:lang w:val="fr-BE"/>
              </w:rPr>
            </w:pPr>
          </w:p>
          <w:p w14:paraId="514084A1" w14:textId="718C277A" w:rsidR="003A4808" w:rsidRPr="008E49CA" w:rsidRDefault="003A4808" w:rsidP="003A4808">
            <w:pPr>
              <w:tabs>
                <w:tab w:val="clear" w:pos="2835"/>
                <w:tab w:val="clear" w:pos="6804"/>
              </w:tabs>
              <w:ind w:left="186"/>
              <w:rPr>
                <w:b/>
                <w:bCs/>
                <w:i/>
                <w:iCs/>
                <w:lang w:val="fr-BE"/>
              </w:rPr>
            </w:pPr>
            <w:r>
              <w:rPr>
                <w:lang w:val="fr-BE"/>
              </w:rPr>
              <w:t xml:space="preserve">Le domaine culturel, artistique et patrimonial n’ayant pas encore pu être soutenu, </w:t>
            </w:r>
            <w:r w:rsidRPr="00697DBA">
              <w:rPr>
                <w:b/>
                <w:bCs/>
                <w:i/>
                <w:iCs/>
                <w:lang w:val="fr-BE"/>
              </w:rPr>
              <w:t xml:space="preserve">le deuxième appel 2020 portera une attention toute particulière au secteur culturel et patrimonial. </w:t>
            </w:r>
            <w:r w:rsidRPr="008E49CA">
              <w:rPr>
                <w:b/>
                <w:bCs/>
                <w:i/>
                <w:iCs/>
                <w:lang w:val="fr-BE"/>
              </w:rPr>
              <w:t>Les critères habituels seront abordés en fonction des difficultés des acteurs culturels et patrimoniaux nées de la crise sanitaire</w:t>
            </w:r>
            <w:r>
              <w:rPr>
                <w:b/>
                <w:bCs/>
                <w:i/>
                <w:iCs/>
                <w:lang w:val="fr-BE"/>
              </w:rPr>
              <w:t>.</w:t>
            </w:r>
            <w:r w:rsidR="00D36540">
              <w:rPr>
                <w:b/>
                <w:bCs/>
                <w:i/>
                <w:iCs/>
                <w:lang w:val="fr-BE"/>
              </w:rPr>
              <w:t xml:space="preserve"> </w:t>
            </w:r>
            <w:r w:rsidR="00FE047E">
              <w:rPr>
                <w:b/>
                <w:bCs/>
                <w:i/>
                <w:iCs/>
                <w:lang w:val="fr-BE"/>
              </w:rPr>
              <w:t>Le</w:t>
            </w:r>
            <w:r w:rsidR="00541634">
              <w:rPr>
                <w:b/>
                <w:bCs/>
                <w:i/>
                <w:iCs/>
                <w:lang w:val="fr-BE"/>
              </w:rPr>
              <w:t xml:space="preserve"> Comité s</w:t>
            </w:r>
            <w:r w:rsidR="0054349F">
              <w:rPr>
                <w:b/>
                <w:bCs/>
                <w:i/>
                <w:iCs/>
                <w:lang w:val="fr-BE"/>
              </w:rPr>
              <w:t xml:space="preserve">outiendra en priorité les </w:t>
            </w:r>
            <w:r w:rsidR="0070487A">
              <w:rPr>
                <w:b/>
                <w:bCs/>
                <w:i/>
                <w:iCs/>
                <w:lang w:val="fr-BE"/>
              </w:rPr>
              <w:t>propositions</w:t>
            </w:r>
            <w:bookmarkStart w:id="0" w:name="_GoBack"/>
            <w:bookmarkEnd w:id="0"/>
            <w:r w:rsidR="00C17322">
              <w:rPr>
                <w:b/>
                <w:bCs/>
                <w:i/>
                <w:iCs/>
                <w:lang w:val="fr-BE"/>
              </w:rPr>
              <w:t xml:space="preserve"> qui permettent aux institutions de </w:t>
            </w:r>
            <w:r w:rsidR="00742799">
              <w:rPr>
                <w:b/>
                <w:bCs/>
                <w:i/>
                <w:iCs/>
                <w:lang w:val="fr-BE"/>
              </w:rPr>
              <w:t xml:space="preserve">se réfléchir sur le long terme. </w:t>
            </w:r>
          </w:p>
          <w:p w14:paraId="25E63524" w14:textId="77777777" w:rsidR="003A4808" w:rsidRDefault="003A4808" w:rsidP="003A4808">
            <w:pPr>
              <w:ind w:left="186"/>
              <w:rPr>
                <w:b/>
                <w:bCs/>
                <w:sz w:val="28"/>
                <w:szCs w:val="28"/>
                <w:lang w:val="fr-BE"/>
              </w:rPr>
            </w:pPr>
          </w:p>
        </w:tc>
      </w:tr>
    </w:tbl>
    <w:p w14:paraId="18D24101" w14:textId="77777777" w:rsidR="000F4029" w:rsidRDefault="000F4029" w:rsidP="00A133B9">
      <w:pPr>
        <w:rPr>
          <w:b/>
          <w:bCs/>
          <w:sz w:val="28"/>
          <w:szCs w:val="28"/>
          <w:lang w:val="fr-BE"/>
        </w:rPr>
      </w:pPr>
    </w:p>
    <w:p w14:paraId="55147377" w14:textId="694514AC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Contexte</w:t>
      </w:r>
      <w:r w:rsidR="0078204F">
        <w:rPr>
          <w:b/>
          <w:bCs/>
          <w:sz w:val="28"/>
          <w:szCs w:val="28"/>
          <w:lang w:val="fr-BE"/>
        </w:rPr>
        <w:t xml:space="preserve"> </w:t>
      </w:r>
    </w:p>
    <w:p w14:paraId="0C9E8D9A" w14:textId="77777777" w:rsidR="000F4029" w:rsidRDefault="000F4029" w:rsidP="00A133B9">
      <w:pPr>
        <w:rPr>
          <w:b/>
          <w:bCs/>
          <w:sz w:val="28"/>
          <w:szCs w:val="28"/>
          <w:lang w:val="fr-BE"/>
        </w:rPr>
      </w:pPr>
    </w:p>
    <w:p w14:paraId="39AAF99A" w14:textId="77777777" w:rsidR="00A133B9" w:rsidRDefault="00A133B9" w:rsidP="00A133B9">
      <w:pPr>
        <w:widowControl w:val="0"/>
        <w:tabs>
          <w:tab w:val="left" w:pos="9356"/>
        </w:tabs>
        <w:ind w:right="-1"/>
        <w:jc w:val="both"/>
        <w:rPr>
          <w:lang w:val="fr-FR"/>
        </w:rPr>
      </w:pPr>
      <w:r>
        <w:rPr>
          <w:lang w:val="fr-FR"/>
        </w:rPr>
        <w:t xml:space="preserve">Le </w:t>
      </w:r>
      <w:r>
        <w:rPr>
          <w:b/>
          <w:i/>
          <w:lang w:val="fr-FR"/>
        </w:rPr>
        <w:t xml:space="preserve">Fonds Claire et Michel Lemay </w:t>
      </w:r>
      <w:r>
        <w:rPr>
          <w:lang w:val="fr-FR"/>
        </w:rPr>
        <w:t xml:space="preserve">a été créé au sein de la Fondation Roi Baudouin en 2012. Il a pour but de </w:t>
      </w:r>
      <w:r w:rsidRPr="000F4029">
        <w:rPr>
          <w:b/>
          <w:i/>
          <w:lang w:val="fr-FR"/>
        </w:rPr>
        <w:t>contribuer au développement de la Wallonie picarde dans les domaines économique, social, patrimonial, culturel et/ou artistique</w:t>
      </w:r>
      <w:r>
        <w:rPr>
          <w:lang w:val="fr-FR"/>
        </w:rPr>
        <w:t xml:space="preserve">. </w:t>
      </w:r>
    </w:p>
    <w:p w14:paraId="6F366CAC" w14:textId="77777777" w:rsidR="00A133B9" w:rsidRDefault="00A133B9" w:rsidP="00A133B9">
      <w:pPr>
        <w:widowControl w:val="0"/>
        <w:tabs>
          <w:tab w:val="left" w:pos="9356"/>
        </w:tabs>
        <w:ind w:right="-1"/>
        <w:jc w:val="both"/>
        <w:rPr>
          <w:lang w:val="fr-FR"/>
        </w:rPr>
      </w:pPr>
    </w:p>
    <w:p w14:paraId="15F3F9A0" w14:textId="77777777" w:rsidR="00A133B9" w:rsidRDefault="00B03A1D" w:rsidP="00A133B9">
      <w:pPr>
        <w:rPr>
          <w:lang w:val="fr-FR"/>
        </w:rPr>
      </w:pPr>
      <w:r>
        <w:rPr>
          <w:lang w:val="fr-FR"/>
        </w:rPr>
        <w:t xml:space="preserve">L’entrepreneur et mécène, </w:t>
      </w:r>
      <w:r w:rsidR="00A133B9">
        <w:rPr>
          <w:lang w:val="fr-FR"/>
        </w:rPr>
        <w:t>Michel Lemay était un passionné de sa Ville, Tournai, et de sa région. Il était ambitieux pour elles</w:t>
      </w:r>
      <w:r w:rsidR="00A976F1">
        <w:rPr>
          <w:lang w:val="fr-FR"/>
        </w:rPr>
        <w:t>. Chaque nouvelle idée créative</w:t>
      </w:r>
      <w:r w:rsidR="00A133B9">
        <w:rPr>
          <w:lang w:val="fr-FR"/>
        </w:rPr>
        <w:t xml:space="preserve"> et </w:t>
      </w:r>
      <w:r w:rsidR="00A976F1">
        <w:rPr>
          <w:lang w:val="fr-FR"/>
        </w:rPr>
        <w:t xml:space="preserve">innovante faisait </w:t>
      </w:r>
      <w:r w:rsidR="00A133B9">
        <w:rPr>
          <w:lang w:val="fr-FR"/>
        </w:rPr>
        <w:t xml:space="preserve">écho chez lui. Chaque initiative </w:t>
      </w:r>
      <w:r w:rsidR="00A976F1">
        <w:rPr>
          <w:lang w:val="fr-FR"/>
        </w:rPr>
        <w:t xml:space="preserve">allant </w:t>
      </w:r>
      <w:r w:rsidR="00A133B9">
        <w:rPr>
          <w:lang w:val="fr-FR"/>
        </w:rPr>
        <w:t xml:space="preserve">dans ce sens pouvait compter sur son soutien. </w:t>
      </w:r>
    </w:p>
    <w:p w14:paraId="4BBC1B68" w14:textId="77777777" w:rsidR="00A133B9" w:rsidRDefault="00A133B9" w:rsidP="00A133B9">
      <w:pPr>
        <w:rPr>
          <w:lang w:val="fr-FR"/>
        </w:rPr>
      </w:pPr>
    </w:p>
    <w:p w14:paraId="0A744C09" w14:textId="77777777" w:rsidR="00A133B9" w:rsidRDefault="00A133B9" w:rsidP="00A133B9">
      <w:pPr>
        <w:rPr>
          <w:lang w:val="fr-FR"/>
        </w:rPr>
      </w:pPr>
      <w:r>
        <w:rPr>
          <w:lang w:val="fr-FR"/>
        </w:rPr>
        <w:t>Afin de pérenniser son action pour la Wallonie pi</w:t>
      </w:r>
      <w:r w:rsidR="00A976F1">
        <w:rPr>
          <w:lang w:val="fr-FR"/>
        </w:rPr>
        <w:t xml:space="preserve">carde et sa capitale, Tournai, </w:t>
      </w:r>
      <w:r>
        <w:rPr>
          <w:lang w:val="fr-FR"/>
        </w:rPr>
        <w:t xml:space="preserve">il </w:t>
      </w:r>
      <w:r w:rsidRPr="00A133B9">
        <w:rPr>
          <w:lang w:val="fr-FR"/>
        </w:rPr>
        <w:t>crée le Fonds Claire et Michel Lemay au sein de la Fondation Roi Baudouin</w:t>
      </w:r>
      <w:r>
        <w:rPr>
          <w:lang w:val="fr-FR"/>
        </w:rPr>
        <w:t xml:space="preserve">. En homme de son temps et attentifs aux évolutions sociétales, Michel Lemay </w:t>
      </w:r>
      <w:r w:rsidR="00B5754F">
        <w:rPr>
          <w:lang w:val="fr-FR"/>
        </w:rPr>
        <w:t xml:space="preserve">veut, dans la mesure du possible, </w:t>
      </w:r>
      <w:r w:rsidR="00A976F1">
        <w:rPr>
          <w:lang w:val="fr-FR"/>
        </w:rPr>
        <w:t>combine</w:t>
      </w:r>
      <w:r w:rsidR="00B5754F">
        <w:rPr>
          <w:lang w:val="fr-FR"/>
        </w:rPr>
        <w:t>r</w:t>
      </w:r>
      <w:r>
        <w:rPr>
          <w:lang w:val="fr-FR"/>
        </w:rPr>
        <w:t xml:space="preserve"> patrimoine</w:t>
      </w:r>
      <w:r w:rsidR="00DE192D">
        <w:rPr>
          <w:lang w:val="fr-FR"/>
        </w:rPr>
        <w:t>, culture</w:t>
      </w:r>
      <w:r>
        <w:rPr>
          <w:lang w:val="fr-FR"/>
        </w:rPr>
        <w:t xml:space="preserve"> et économie pour favoriser le développement de sa région</w:t>
      </w:r>
      <w:r w:rsidR="00A976F1">
        <w:rPr>
          <w:lang w:val="fr-FR"/>
        </w:rPr>
        <w:t>,</w:t>
      </w:r>
      <w:r w:rsidR="000F4029">
        <w:rPr>
          <w:lang w:val="fr-FR"/>
        </w:rPr>
        <w:t xml:space="preserve"> dotée d’un</w:t>
      </w:r>
      <w:r>
        <w:rPr>
          <w:lang w:val="fr-FR"/>
        </w:rPr>
        <w:t xml:space="preserve"> passé historique</w:t>
      </w:r>
      <w:r w:rsidR="000F4029">
        <w:rPr>
          <w:lang w:val="fr-FR"/>
        </w:rPr>
        <w:t xml:space="preserve"> particulièrement riche. </w:t>
      </w:r>
      <w:r>
        <w:rPr>
          <w:lang w:val="fr-FR"/>
        </w:rPr>
        <w:t xml:space="preserve"> </w:t>
      </w:r>
    </w:p>
    <w:p w14:paraId="4C322524" w14:textId="77777777" w:rsidR="00E24E00" w:rsidRDefault="00E24E00" w:rsidP="00A133B9">
      <w:pPr>
        <w:rPr>
          <w:lang w:val="fr-FR"/>
        </w:rPr>
      </w:pPr>
    </w:p>
    <w:p w14:paraId="3AC7C100" w14:textId="77777777" w:rsidR="00A133B9" w:rsidRPr="00A976F1" w:rsidRDefault="00A133B9" w:rsidP="00A133B9">
      <w:pPr>
        <w:rPr>
          <w:b/>
          <w:bCs/>
          <w:sz w:val="28"/>
          <w:szCs w:val="28"/>
          <w:lang w:val="fr-FR"/>
        </w:rPr>
      </w:pPr>
    </w:p>
    <w:p w14:paraId="1C43FE8F" w14:textId="77777777" w:rsidR="000F4029" w:rsidRDefault="000F4029" w:rsidP="00A133B9">
      <w:pPr>
        <w:rPr>
          <w:b/>
          <w:bCs/>
          <w:sz w:val="28"/>
          <w:szCs w:val="28"/>
          <w:lang w:val="fr-BE"/>
        </w:rPr>
      </w:pPr>
    </w:p>
    <w:p w14:paraId="77897A74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But du Fonds</w:t>
      </w:r>
    </w:p>
    <w:p w14:paraId="702BB16B" w14:textId="77777777" w:rsidR="00A133B9" w:rsidRDefault="00A133B9" w:rsidP="00A133B9">
      <w:pPr>
        <w:ind w:left="1080"/>
        <w:rPr>
          <w:b/>
          <w:bCs/>
          <w:lang w:val="fr-BE"/>
        </w:rPr>
      </w:pPr>
    </w:p>
    <w:p w14:paraId="57424AAF" w14:textId="77777777" w:rsidR="00A133B9" w:rsidRDefault="00A133B9" w:rsidP="00A133B9">
      <w:pPr>
        <w:rPr>
          <w:lang w:val="fr-FR"/>
        </w:rPr>
      </w:pPr>
      <w:r>
        <w:rPr>
          <w:lang w:val="fr-BE"/>
        </w:rPr>
        <w:t xml:space="preserve">Le Fonds a pour objectif de </w:t>
      </w:r>
      <w:r w:rsidRPr="003B0A22">
        <w:rPr>
          <w:b/>
          <w:lang w:val="fr-BE"/>
        </w:rPr>
        <w:t xml:space="preserve">stimuler les </w:t>
      </w:r>
      <w:r w:rsidRPr="003B0A22">
        <w:rPr>
          <w:b/>
          <w:lang w:val="fr-FR"/>
        </w:rPr>
        <w:t xml:space="preserve">projets novateurs et porteurs d’avenir </w:t>
      </w:r>
      <w:r w:rsidRPr="003B0A22">
        <w:rPr>
          <w:lang w:val="fr-FR"/>
        </w:rPr>
        <w:t>à Tournai et en Wallonie picarde</w:t>
      </w:r>
      <w:r>
        <w:rPr>
          <w:lang w:val="fr-BE"/>
        </w:rPr>
        <w:t xml:space="preserve">. </w:t>
      </w:r>
    </w:p>
    <w:p w14:paraId="2537FC4F" w14:textId="77777777" w:rsidR="00A133B9" w:rsidRDefault="00A133B9" w:rsidP="00A133B9">
      <w:pPr>
        <w:rPr>
          <w:lang w:val="fr-FR"/>
        </w:rPr>
      </w:pPr>
    </w:p>
    <w:p w14:paraId="6FD72947" w14:textId="77777777" w:rsidR="00A133B9" w:rsidRDefault="00A133B9" w:rsidP="00A133B9">
      <w:pPr>
        <w:tabs>
          <w:tab w:val="left" w:pos="567"/>
        </w:tabs>
        <w:rPr>
          <w:lang w:val="fr-FR"/>
        </w:rPr>
      </w:pPr>
      <w:r>
        <w:rPr>
          <w:lang w:val="fr-BE"/>
        </w:rPr>
        <w:t xml:space="preserve">Le Comité de gestion a décidé de mettre en œuvre cet objectif en lançant un appel à projets. Les maîtres mots sont créativité, innovation, compétences et perspective. </w:t>
      </w:r>
      <w:r>
        <w:rPr>
          <w:lang w:val="fr-FR"/>
        </w:rPr>
        <w:t>Ces projets combineront de préférence patrimoine</w:t>
      </w:r>
      <w:r w:rsidR="00DB77AF">
        <w:rPr>
          <w:lang w:val="fr-FR"/>
        </w:rPr>
        <w:t>, culture</w:t>
      </w:r>
      <w:r>
        <w:rPr>
          <w:lang w:val="fr-FR"/>
        </w:rPr>
        <w:t xml:space="preserve"> et économie. Ils devront avoir un impact indéniable sur le développement social et économique de la région. </w:t>
      </w:r>
    </w:p>
    <w:p w14:paraId="2C578D0B" w14:textId="77777777" w:rsidR="00A133B9" w:rsidRDefault="00A133B9" w:rsidP="00A133B9">
      <w:pPr>
        <w:rPr>
          <w:lang w:val="fr-FR"/>
        </w:rPr>
      </w:pPr>
    </w:p>
    <w:p w14:paraId="35CAA967" w14:textId="77777777" w:rsidR="00A133B9" w:rsidRDefault="00A133B9" w:rsidP="00A133B9">
      <w:pPr>
        <w:ind w:left="540"/>
        <w:rPr>
          <w:b/>
          <w:bCs/>
          <w:sz w:val="28"/>
          <w:szCs w:val="28"/>
          <w:lang w:val="fr-BE"/>
        </w:rPr>
      </w:pPr>
    </w:p>
    <w:p w14:paraId="3AD1960E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Soutien</w:t>
      </w:r>
    </w:p>
    <w:p w14:paraId="1576756C" w14:textId="77777777" w:rsidR="000F4029" w:rsidRDefault="000F4029" w:rsidP="00A133B9">
      <w:pPr>
        <w:rPr>
          <w:lang w:val="fr-BE"/>
        </w:rPr>
      </w:pPr>
    </w:p>
    <w:p w14:paraId="7C837E02" w14:textId="6EE94337" w:rsidR="000F4029" w:rsidRDefault="00A133B9" w:rsidP="00A133B9">
      <w:pPr>
        <w:rPr>
          <w:lang w:val="fr-BE"/>
        </w:rPr>
      </w:pPr>
      <w:r>
        <w:rPr>
          <w:lang w:val="fr-BE"/>
        </w:rPr>
        <w:t xml:space="preserve">Le </w:t>
      </w:r>
      <w:r>
        <w:rPr>
          <w:b/>
          <w:lang w:val="fr-BE"/>
        </w:rPr>
        <w:t>budget annuel</w:t>
      </w:r>
      <w:r>
        <w:rPr>
          <w:lang w:val="fr-BE"/>
        </w:rPr>
        <w:t xml:space="preserve"> du Fonds est de </w:t>
      </w:r>
      <w:r w:rsidR="005B4D53">
        <w:rPr>
          <w:b/>
          <w:lang w:val="fr-BE"/>
        </w:rPr>
        <w:t>20</w:t>
      </w:r>
      <w:r w:rsidRPr="000F4029">
        <w:rPr>
          <w:b/>
          <w:lang w:val="fr-BE"/>
        </w:rPr>
        <w:t>0.000</w:t>
      </w:r>
      <w:r>
        <w:rPr>
          <w:lang w:val="fr-BE"/>
        </w:rPr>
        <w:t xml:space="preserve"> </w:t>
      </w:r>
      <w:r>
        <w:rPr>
          <w:b/>
          <w:lang w:val="fr-BE"/>
        </w:rPr>
        <w:t>€.</w:t>
      </w:r>
      <w:r>
        <w:rPr>
          <w:lang w:val="fr-BE"/>
        </w:rPr>
        <w:t xml:space="preserve"> </w:t>
      </w:r>
    </w:p>
    <w:p w14:paraId="5B860165" w14:textId="77777777" w:rsidR="000F4029" w:rsidRDefault="000F4029" w:rsidP="00A133B9">
      <w:pPr>
        <w:rPr>
          <w:lang w:val="fr-BE"/>
        </w:rPr>
      </w:pPr>
    </w:p>
    <w:p w14:paraId="3EF06478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Cette somme </w:t>
      </w:r>
      <w:r w:rsidR="000F4029">
        <w:rPr>
          <w:lang w:val="fr-BE"/>
        </w:rPr>
        <w:t>peut être</w:t>
      </w:r>
      <w:r>
        <w:rPr>
          <w:lang w:val="fr-BE"/>
        </w:rPr>
        <w:t xml:space="preserve"> consacrée à un ou plusieurs projets. </w:t>
      </w:r>
    </w:p>
    <w:p w14:paraId="274B3533" w14:textId="77777777" w:rsidR="00A133B9" w:rsidRDefault="00A133B9" w:rsidP="00A133B9">
      <w:pPr>
        <w:rPr>
          <w:lang w:val="fr-BE"/>
        </w:rPr>
      </w:pPr>
    </w:p>
    <w:p w14:paraId="0B44A4B2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Procédure de sélection</w:t>
      </w:r>
    </w:p>
    <w:p w14:paraId="636EF8DC" w14:textId="77777777" w:rsidR="00A133B9" w:rsidRDefault="00A133B9" w:rsidP="00A133B9">
      <w:pPr>
        <w:rPr>
          <w:iCs/>
          <w:lang w:val="fr-BE"/>
        </w:rPr>
      </w:pPr>
    </w:p>
    <w:p w14:paraId="334DF29B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Le lien vers le formulaire est accessible à partir du site </w:t>
      </w:r>
      <w:hyperlink r:id="rId11" w:history="1">
        <w:r>
          <w:rPr>
            <w:rStyle w:val="Hyperlink"/>
            <w:lang w:val="fr-BE"/>
          </w:rPr>
          <w:t>www.kbs-frb.be</w:t>
        </w:r>
      </w:hyperlink>
      <w:r>
        <w:rPr>
          <w:lang w:val="fr-BE"/>
        </w:rPr>
        <w:t xml:space="preserve"> sur la page du Fonds Claire et Michel Lemay. </w:t>
      </w:r>
    </w:p>
    <w:p w14:paraId="5060E040" w14:textId="77777777" w:rsidR="00A133B9" w:rsidRDefault="00A133B9" w:rsidP="00A133B9">
      <w:pPr>
        <w:rPr>
          <w:lang w:val="fr-BE"/>
        </w:rPr>
      </w:pPr>
    </w:p>
    <w:p w14:paraId="433103E6" w14:textId="77777777" w:rsidR="008228B9" w:rsidRDefault="00A133B9" w:rsidP="00A133B9">
      <w:pPr>
        <w:rPr>
          <w:lang w:val="fr-BE"/>
        </w:rPr>
      </w:pPr>
      <w:r>
        <w:rPr>
          <w:lang w:val="fr-BE"/>
        </w:rPr>
        <w:t xml:space="preserve">Les dossiers sont examinés par le Comité de gestion. </w:t>
      </w:r>
    </w:p>
    <w:p w14:paraId="7640836E" w14:textId="77777777" w:rsidR="008228B9" w:rsidRDefault="008228B9" w:rsidP="00A133B9">
      <w:pPr>
        <w:rPr>
          <w:lang w:val="fr-BE"/>
        </w:rPr>
      </w:pPr>
    </w:p>
    <w:p w14:paraId="2F87DD14" w14:textId="59FA66A4" w:rsidR="00A133B9" w:rsidRDefault="00A133B9" w:rsidP="00A133B9">
      <w:pPr>
        <w:rPr>
          <w:lang w:val="fr-BE"/>
        </w:rPr>
      </w:pPr>
      <w:r>
        <w:rPr>
          <w:lang w:val="fr-BE"/>
        </w:rPr>
        <w:t xml:space="preserve">Les </w:t>
      </w:r>
      <w:r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0A391C57" w14:textId="77777777" w:rsidR="003B0A22" w:rsidRDefault="003B0A22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la mesure dans laquelle le projet peut </w:t>
      </w:r>
      <w:r w:rsidRPr="003B0A22">
        <w:rPr>
          <w:b/>
          <w:lang w:val="fr-BE"/>
        </w:rPr>
        <w:t>booster la Wallonie picarde</w:t>
      </w:r>
    </w:p>
    <w:p w14:paraId="4C00E170" w14:textId="1EDC5E8A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>
        <w:rPr>
          <w:b/>
          <w:lang w:val="fr-BE"/>
        </w:rPr>
        <w:t>créativité et le caractère innovant</w:t>
      </w:r>
      <w:r>
        <w:rPr>
          <w:lang w:val="fr-BE"/>
        </w:rPr>
        <w:t xml:space="preserve"> </w:t>
      </w:r>
    </w:p>
    <w:p w14:paraId="58D5697E" w14:textId="19CD6328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Les </w:t>
      </w:r>
      <w:r>
        <w:rPr>
          <w:b/>
          <w:lang w:val="fr-BE"/>
        </w:rPr>
        <w:t>perspectives d’avenir</w:t>
      </w:r>
      <w:r>
        <w:rPr>
          <w:lang w:val="fr-BE"/>
        </w:rPr>
        <w:t xml:space="preserve"> </w:t>
      </w:r>
    </w:p>
    <w:p w14:paraId="0E3CDE85" w14:textId="7777777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Les </w:t>
      </w:r>
      <w:r>
        <w:rPr>
          <w:b/>
          <w:lang w:val="fr-BE"/>
        </w:rPr>
        <w:t>compétences</w:t>
      </w:r>
      <w:r>
        <w:rPr>
          <w:lang w:val="fr-BE"/>
        </w:rPr>
        <w:t xml:space="preserve"> des personnes qui le mettent en œuvre</w:t>
      </w:r>
    </w:p>
    <w:p w14:paraId="50313C54" w14:textId="57C5A25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b/>
          <w:lang w:val="fr-BE"/>
        </w:rPr>
        <w:t>la valeur exemplative</w:t>
      </w:r>
      <w:r>
        <w:rPr>
          <w:lang w:val="fr-BE"/>
        </w:rPr>
        <w:t xml:space="preserve"> (entraînant e.a. un changement positif, d’autres projets, la reprise du projet par d’autres, …)</w:t>
      </w:r>
    </w:p>
    <w:p w14:paraId="0BE43C35" w14:textId="512905A3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b/>
          <w:bCs/>
          <w:lang w:val="fr-BE"/>
        </w:rPr>
        <w:t xml:space="preserve">la qualité de la mise en œuvre </w:t>
      </w:r>
      <w:r>
        <w:rPr>
          <w:lang w:val="fr-BE"/>
        </w:rPr>
        <w:t xml:space="preserve">(mesurée e.a. par la précision et la fiabilité du plan financier, le réalisme du calendrier, l’évaluation et le suivi du projet…) </w:t>
      </w:r>
    </w:p>
    <w:p w14:paraId="4DE680FD" w14:textId="5B9E5560" w:rsidR="00A133B9" w:rsidRDefault="00A133B9" w:rsidP="00A133B9">
      <w:pPr>
        <w:numPr>
          <w:ilvl w:val="0"/>
          <w:numId w:val="21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</w:p>
    <w:p w14:paraId="18634B2C" w14:textId="77777777" w:rsidR="008228B9" w:rsidRDefault="008228B9" w:rsidP="00A133B9">
      <w:pPr>
        <w:rPr>
          <w:lang w:val="fr-BE"/>
        </w:rPr>
      </w:pPr>
    </w:p>
    <w:p w14:paraId="5D31E0F8" w14:textId="73C99B9A" w:rsidR="00AB5C5A" w:rsidRDefault="00A133B9" w:rsidP="00A133B9">
      <w:pPr>
        <w:rPr>
          <w:lang w:val="fr-BE"/>
        </w:rPr>
      </w:pPr>
      <w:r>
        <w:rPr>
          <w:lang w:val="fr-BE"/>
        </w:rPr>
        <w:t xml:space="preserve">La </w:t>
      </w:r>
      <w:r>
        <w:rPr>
          <w:b/>
          <w:lang w:val="fr-BE"/>
        </w:rPr>
        <w:t>sélection</w:t>
      </w:r>
      <w:r>
        <w:rPr>
          <w:lang w:val="fr-BE"/>
        </w:rPr>
        <w:t xml:space="preserve"> est assurée par le Comité de gestion qui se réunit </w:t>
      </w:r>
      <w:r w:rsidR="00450C17">
        <w:rPr>
          <w:lang w:val="fr-BE"/>
        </w:rPr>
        <w:t>deux</w:t>
      </w:r>
      <w:r>
        <w:rPr>
          <w:lang w:val="fr-BE"/>
        </w:rPr>
        <w:t xml:space="preserve"> fois par an. </w:t>
      </w:r>
      <w:r w:rsidR="00055A71">
        <w:rPr>
          <w:lang w:val="fr-BE"/>
        </w:rPr>
        <w:t xml:space="preserve">Si nécessaire, il fait appel à l’avis </w:t>
      </w:r>
      <w:r w:rsidR="003B0A22">
        <w:rPr>
          <w:lang w:val="fr-BE"/>
        </w:rPr>
        <w:t>d’experts</w:t>
      </w:r>
      <w:r w:rsidR="00055A71">
        <w:rPr>
          <w:lang w:val="fr-BE"/>
        </w:rPr>
        <w:t xml:space="preserve"> indépendants. </w:t>
      </w:r>
      <w:r w:rsidR="00AB5C5A">
        <w:rPr>
          <w:lang w:val="fr-BE"/>
        </w:rPr>
        <w:t>Le Comité de gestion ne motive pas ses décisions qui sont sans appel.</w:t>
      </w:r>
    </w:p>
    <w:p w14:paraId="5D908340" w14:textId="77777777" w:rsidR="00AB5C5A" w:rsidRDefault="00AB5C5A" w:rsidP="00A133B9">
      <w:pPr>
        <w:rPr>
          <w:lang w:val="fr-BE"/>
        </w:rPr>
      </w:pPr>
    </w:p>
    <w:p w14:paraId="0C082371" w14:textId="77777777" w:rsidR="00A133B9" w:rsidRDefault="00F0530E" w:rsidP="00A133B9">
      <w:pPr>
        <w:rPr>
          <w:b/>
          <w:bCs/>
          <w:u w:val="single"/>
          <w:lang w:val="fr-BE"/>
        </w:rPr>
      </w:pPr>
      <w:r>
        <w:rPr>
          <w:lang w:val="fr-BE"/>
        </w:rPr>
        <w:t xml:space="preserve">Chaque candidat est informé par écrit du </w:t>
      </w:r>
      <w:bookmarkStart w:id="1" w:name="S33"/>
      <w:bookmarkStart w:id="2" w:name="OP3_ZLdHebbP"/>
      <w:bookmarkEnd w:id="1"/>
      <w:r>
        <w:rPr>
          <w:lang w:val="fr-BE"/>
        </w:rPr>
        <w:t xml:space="preserve">résultat </w:t>
      </w:r>
      <w:bookmarkEnd w:id="2"/>
      <w:r>
        <w:rPr>
          <w:lang w:val="fr-BE"/>
        </w:rPr>
        <w:t xml:space="preserve">de la sélection. </w:t>
      </w:r>
      <w:r w:rsidR="00A133B9">
        <w:rPr>
          <w:lang w:val="fr-BE"/>
        </w:rPr>
        <w:t>Tout projet sélectionné fait l’objet d’une convention prévoyant une procédure de contrôle q</w:t>
      </w:r>
      <w:r w:rsidR="00055A71">
        <w:rPr>
          <w:lang w:val="fr-BE"/>
        </w:rPr>
        <w:t>uant à l’affectation du soutien.</w:t>
      </w:r>
    </w:p>
    <w:p w14:paraId="2F445CD3" w14:textId="77777777" w:rsidR="00A133B9" w:rsidRDefault="00A133B9" w:rsidP="00A133B9">
      <w:pPr>
        <w:rPr>
          <w:rFonts w:ascii="Arial" w:hAnsi="Arial"/>
          <w:lang w:val="fr-BE"/>
        </w:rPr>
      </w:pPr>
    </w:p>
    <w:p w14:paraId="6CA9DC06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Pour être pris en considération, les dossiers introduits doivent répondre aux </w:t>
      </w:r>
      <w:r>
        <w:rPr>
          <w:b/>
          <w:lang w:val="fr-BE"/>
        </w:rPr>
        <w:t>critères de recevabilité</w:t>
      </w:r>
      <w:r>
        <w:rPr>
          <w:lang w:val="fr-BE"/>
        </w:rPr>
        <w:t xml:space="preserve"> suivants :</w:t>
      </w:r>
    </w:p>
    <w:p w14:paraId="4B6AB60F" w14:textId="77777777" w:rsidR="00A133B9" w:rsidRDefault="00A133B9" w:rsidP="00A133B9">
      <w:pPr>
        <w:numPr>
          <w:ilvl w:val="0"/>
          <w:numId w:val="22"/>
        </w:numPr>
        <w:rPr>
          <w:rFonts w:ascii="Arial" w:hAnsi="Arial"/>
          <w:lang w:val="fr-BE"/>
        </w:rPr>
      </w:pPr>
      <w:r>
        <w:rPr>
          <w:lang w:val="fr-BE"/>
        </w:rPr>
        <w:lastRenderedPageBreak/>
        <w:t>le formulaire de candidature doit être rempli complètement et introduit dans les temps ;</w:t>
      </w:r>
    </w:p>
    <w:p w14:paraId="57D73C3B" w14:textId="77777777" w:rsidR="00A133B9" w:rsidRDefault="00A133B9" w:rsidP="00A133B9">
      <w:pPr>
        <w:numPr>
          <w:ilvl w:val="0"/>
          <w:numId w:val="22"/>
        </w:numPr>
        <w:rPr>
          <w:lang w:val="fr-BE"/>
        </w:rPr>
      </w:pPr>
      <w:r>
        <w:rPr>
          <w:lang w:val="fr-BE"/>
        </w:rPr>
        <w:t>le porteur du projet est le représentant d’une collectivité, une organisation sans but lucratif, une institution, un groupe de bénévoles ou une institution publique locale (c.à.d. pas une organisation commerciale)</w:t>
      </w:r>
    </w:p>
    <w:p w14:paraId="772E9B04" w14:textId="77777777" w:rsidR="00A133B9" w:rsidRDefault="00A133B9" w:rsidP="00A133B9">
      <w:pPr>
        <w:numPr>
          <w:ilvl w:val="0"/>
          <w:numId w:val="22"/>
        </w:numPr>
        <w:rPr>
          <w:lang w:val="fr-BE"/>
        </w:rPr>
      </w:pPr>
      <w:r>
        <w:rPr>
          <w:lang w:val="fr-BE"/>
        </w:rPr>
        <w:t>le projet doit être pertinent par rapport aux objectifs du Fonds</w:t>
      </w:r>
    </w:p>
    <w:p w14:paraId="51FDE4C2" w14:textId="77777777" w:rsidR="00A133B9" w:rsidRDefault="00A133B9" w:rsidP="00A133B9">
      <w:pPr>
        <w:rPr>
          <w:rFonts w:ascii="Arial" w:hAnsi="Arial"/>
          <w:lang w:val="fr-BE"/>
        </w:rPr>
      </w:pPr>
    </w:p>
    <w:p w14:paraId="143DCD82" w14:textId="77777777" w:rsidR="00A133B9" w:rsidRDefault="00A133B9" w:rsidP="00A133B9">
      <w:pPr>
        <w:rPr>
          <w:lang w:val="fr-BE"/>
        </w:rPr>
      </w:pPr>
    </w:p>
    <w:p w14:paraId="22019E57" w14:textId="77777777" w:rsidR="00A133B9" w:rsidRDefault="00A133B9" w:rsidP="00A133B9">
      <w:pPr>
        <w:rPr>
          <w:lang w:val="fr-BE"/>
        </w:rPr>
      </w:pPr>
    </w:p>
    <w:p w14:paraId="3324263B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Modalités de participation</w:t>
      </w:r>
    </w:p>
    <w:p w14:paraId="0CDB68DF" w14:textId="77777777" w:rsidR="00A133B9" w:rsidRDefault="00A133B9" w:rsidP="00B5754F">
      <w:pPr>
        <w:rPr>
          <w:rFonts w:ascii="Arial" w:hAnsi="Arial"/>
          <w:lang w:val="fr-BE"/>
        </w:rPr>
      </w:pPr>
    </w:p>
    <w:p w14:paraId="5852F8C5" w14:textId="77777777" w:rsidR="00A133B9" w:rsidRDefault="00A133B9" w:rsidP="00A133B9">
      <w:pPr>
        <w:tabs>
          <w:tab w:val="left" w:pos="2790"/>
          <w:tab w:val="left" w:pos="3525"/>
          <w:tab w:val="right" w:pos="8853"/>
        </w:tabs>
        <w:rPr>
          <w:lang w:val="fr-BE"/>
        </w:rPr>
      </w:pPr>
      <w:r>
        <w:rPr>
          <w:lang w:val="fr-BE"/>
        </w:rPr>
        <w:t xml:space="preserve">Pour participer, les candidats doivent compléter un </w:t>
      </w:r>
      <w:r>
        <w:rPr>
          <w:b/>
          <w:lang w:val="fr-BE"/>
        </w:rPr>
        <w:t xml:space="preserve">formulaire de </w:t>
      </w:r>
      <w:bookmarkStart w:id="3" w:name="S11"/>
      <w:bookmarkStart w:id="4" w:name="OP3_OZtV4L2p"/>
      <w:bookmarkEnd w:id="3"/>
      <w:r>
        <w:rPr>
          <w:b/>
          <w:lang w:val="fr-BE"/>
        </w:rPr>
        <w:t>candidature</w:t>
      </w:r>
      <w:bookmarkEnd w:id="4"/>
      <w:r>
        <w:rPr>
          <w:lang w:val="fr-BE"/>
        </w:rPr>
        <w:t xml:space="preserve"> spécifique </w:t>
      </w:r>
      <w:bookmarkStart w:id="5" w:name="S12"/>
      <w:bookmarkStart w:id="6" w:name="OP3_E09VcL8p"/>
      <w:bookmarkEnd w:id="5"/>
      <w:r>
        <w:rPr>
          <w:lang w:val="fr-BE"/>
        </w:rPr>
        <w:t xml:space="preserve">établi </w:t>
      </w:r>
      <w:bookmarkStart w:id="7" w:name="S13_a_d"/>
      <w:bookmarkStart w:id="8" w:name="OP3_H0QVeL8p"/>
      <w:bookmarkEnd w:id="6"/>
      <w:bookmarkEnd w:id="7"/>
      <w:r>
        <w:rPr>
          <w:lang w:val="fr-BE"/>
        </w:rPr>
        <w:t xml:space="preserve">à </w:t>
      </w:r>
      <w:bookmarkEnd w:id="8"/>
      <w:r>
        <w:rPr>
          <w:lang w:val="fr-BE"/>
        </w:rPr>
        <w:t>cet effet. Ce</w:t>
      </w:r>
      <w:r>
        <w:rPr>
          <w:i/>
          <w:lang w:val="fr-BE"/>
        </w:rPr>
        <w:t xml:space="preserve"> </w:t>
      </w:r>
      <w:bookmarkStart w:id="9" w:name="S16"/>
      <w:bookmarkStart w:id="10" w:name="OP3_ZX2S5O2s"/>
      <w:bookmarkEnd w:id="9"/>
      <w:r>
        <w:rPr>
          <w:lang w:val="fr-BE"/>
        </w:rPr>
        <w:t xml:space="preserve">formulaire </w:t>
      </w:r>
      <w:bookmarkStart w:id="11" w:name="S18_41dolescent_adolescent"/>
      <w:bookmarkStart w:id="12" w:name="OP3_DZ53eObs"/>
      <w:bookmarkEnd w:id="10"/>
      <w:bookmarkEnd w:id="11"/>
      <w:r>
        <w:rPr>
          <w:lang w:val="fr-BE"/>
        </w:rPr>
        <w:t>peut être téléchargé à partir du site de la Fondation Roi Baudouin (</w:t>
      </w:r>
      <w:hyperlink r:id="rId12" w:history="1">
        <w:r>
          <w:rPr>
            <w:rStyle w:val="Hyperlink"/>
            <w:lang w:val="fr-BE"/>
          </w:rPr>
          <w:t>www.kbs-frb.be</w:t>
        </w:r>
      </w:hyperlink>
      <w:r w:rsidRPr="00A133B9">
        <w:rPr>
          <w:lang w:val="fr-FR"/>
        </w:rPr>
        <w:t xml:space="preserve">: </w:t>
      </w:r>
      <w:r w:rsidR="008945D4">
        <w:rPr>
          <w:lang w:val="fr-FR"/>
        </w:rPr>
        <w:t>recherche sur ‘Lemay’</w:t>
      </w:r>
      <w:r>
        <w:rPr>
          <w:lang w:val="fr-BE"/>
        </w:rPr>
        <w:t xml:space="preserve">). </w:t>
      </w:r>
      <w:bookmarkEnd w:id="12"/>
    </w:p>
    <w:p w14:paraId="021E7B88" w14:textId="77777777" w:rsidR="00A133B9" w:rsidRDefault="00A133B9" w:rsidP="00A133B9">
      <w:pPr>
        <w:tabs>
          <w:tab w:val="left" w:pos="2790"/>
          <w:tab w:val="left" w:pos="3525"/>
          <w:tab w:val="right" w:pos="8853"/>
        </w:tabs>
        <w:rPr>
          <w:highlight w:val="yellow"/>
          <w:lang w:val="fr-BE"/>
        </w:rPr>
      </w:pPr>
    </w:p>
    <w:p w14:paraId="6675BB57" w14:textId="77777777" w:rsidR="00A133B9" w:rsidRPr="00DE192D" w:rsidRDefault="00A133B9">
      <w:pPr>
        <w:rPr>
          <w:lang w:val="fr-FR"/>
        </w:rPr>
      </w:pPr>
    </w:p>
    <w:sectPr w:rsidR="00A133B9" w:rsidRPr="00DE192D" w:rsidSect="00B575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270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D00F" w14:textId="77777777" w:rsidR="00D54B0E" w:rsidRDefault="00D54B0E">
      <w:r>
        <w:separator/>
      </w:r>
    </w:p>
  </w:endnote>
  <w:endnote w:type="continuationSeparator" w:id="0">
    <w:p w14:paraId="2D9C9F4A" w14:textId="77777777" w:rsidR="00D54B0E" w:rsidRDefault="00D54B0E">
      <w:r>
        <w:continuationSeparator/>
      </w:r>
    </w:p>
  </w:endnote>
  <w:endnote w:type="continuationNotice" w:id="1">
    <w:p w14:paraId="122459E6" w14:textId="77777777" w:rsidR="00D54B0E" w:rsidRDefault="00D54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LOGO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CEAD" w14:textId="77777777" w:rsidR="003720D6" w:rsidRDefault="0037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9D59" w14:textId="4A7B8360" w:rsidR="003720D6" w:rsidRPr="00A133B9" w:rsidRDefault="003720D6" w:rsidP="00B73ECB">
    <w:pPr>
      <w:pStyle w:val="Footer1b"/>
      <w:rPr>
        <w:lang w:val="fr-FR"/>
      </w:rPr>
    </w:pPr>
    <w:r w:rsidRPr="00A133B9">
      <w:rPr>
        <w:lang w:val="fr-FR"/>
      </w:rPr>
      <w:t>Fonds Claire et Michel Lemay</w:t>
    </w:r>
    <w:r w:rsidRPr="00A133B9">
      <w:rPr>
        <w:lang w:val="fr-FR"/>
      </w:rPr>
      <w:tab/>
    </w:r>
    <w:r>
      <w:fldChar w:fldCharType="begin"/>
    </w:r>
    <w:r w:rsidRPr="00A133B9">
      <w:rPr>
        <w:lang w:val="fr-FR"/>
      </w:rPr>
      <w:instrText xml:space="preserve"> PAGE  \* MERGEFORMAT </w:instrText>
    </w:r>
    <w:r>
      <w:fldChar w:fldCharType="separate"/>
    </w:r>
    <w:r w:rsidR="003B0A22">
      <w:rPr>
        <w:noProof/>
        <w:lang w:val="fr-FR"/>
      </w:rPr>
      <w:t>2</w:t>
    </w:r>
    <w:r>
      <w:fldChar w:fldCharType="end"/>
    </w:r>
    <w:r w:rsidRPr="00A133B9">
      <w:rPr>
        <w:lang w:val="fr-FR"/>
      </w:rPr>
      <w:t>/</w:t>
    </w:r>
    <w:r>
      <w:fldChar w:fldCharType="begin"/>
    </w:r>
    <w:r w:rsidRPr="00A133B9">
      <w:rPr>
        <w:lang w:val="fr-FR"/>
      </w:rPr>
      <w:instrText xml:space="preserve"> SECTIONPAGES   \* MERGEFORMAT </w:instrText>
    </w:r>
    <w:r>
      <w:fldChar w:fldCharType="separate"/>
    </w:r>
    <w:r w:rsidR="0070487A">
      <w:rPr>
        <w:noProof/>
        <w:lang w:val="fr-FR"/>
      </w:rPr>
      <w:t>3</w:t>
    </w:r>
    <w:r>
      <w:fldChar w:fldCharType="end"/>
    </w:r>
  </w:p>
  <w:p w14:paraId="070356D9" w14:textId="77777777" w:rsidR="003720D6" w:rsidRPr="00A133B9" w:rsidRDefault="003720D6" w:rsidP="00B73ECB">
    <w:pPr>
      <w:pStyle w:val="Footer2"/>
      <w:rPr>
        <w:lang w:val="fr-FR"/>
      </w:rPr>
    </w:pPr>
    <w:r w:rsidRPr="00A133B9">
      <w:rPr>
        <w:lang w:val="fr-FR"/>
      </w:rPr>
      <w:t>géré par la Fondation Roi Baudouin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4"/>
      <w:gridCol w:w="8077"/>
    </w:tblGrid>
    <w:tr w:rsidR="003720D6" w:rsidRPr="0070487A" w14:paraId="3F70F2C2" w14:textId="77777777" w:rsidTr="00B73ECB">
      <w:tc>
        <w:tcPr>
          <w:tcW w:w="567" w:type="dxa"/>
          <w:tcMar>
            <w:left w:w="0" w:type="dxa"/>
            <w:right w:w="0" w:type="dxa"/>
          </w:tcMar>
          <w:vAlign w:val="center"/>
        </w:tcPr>
        <w:p w14:paraId="2A17EF91" w14:textId="77777777" w:rsidR="003720D6" w:rsidRPr="00B73ECB" w:rsidRDefault="00725184" w:rsidP="00B73ECB">
          <w:pPr>
            <w:pStyle w:val="Footer"/>
            <w:tabs>
              <w:tab w:val="clear" w:pos="9072"/>
            </w:tabs>
          </w:pPr>
          <w:r>
            <w:pict w14:anchorId="1D022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45pt">
                <v:imagedata r:id="rId1" o:title="KBS-small"/>
              </v:shape>
            </w:pict>
          </w:r>
        </w:p>
      </w:tc>
      <w:tc>
        <w:tcPr>
          <w:tcW w:w="4606" w:type="dxa"/>
          <w:tcMar>
            <w:left w:w="0" w:type="dxa"/>
            <w:right w:w="0" w:type="dxa"/>
          </w:tcMar>
          <w:vAlign w:val="center"/>
        </w:tcPr>
        <w:p w14:paraId="734E5109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c/o FONDATION ROI BAUDOUIN – fondation d’utilité publique</w:t>
          </w:r>
        </w:p>
        <w:p w14:paraId="1E87AB6D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RUE BREDERODE 21   B-1000 BRUXELLES</w:t>
          </w:r>
        </w:p>
        <w:p w14:paraId="55C83077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TÉL +32-2-511 18 40   FAX +32-2-511 52 21</w:t>
          </w:r>
        </w:p>
        <w:p w14:paraId="7BF82416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WWW.KBS-FRB.BE   INFO@KBS-FRB.BE</w:t>
          </w:r>
        </w:p>
        <w:p w14:paraId="798D5E8B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BANQUE DE LA POSTE IBAN: BE10 0000 0000 0404  BIC: BPOTBEB1 avec la mention "120240 Fonds Claire et Michel Lemay"</w:t>
          </w:r>
        </w:p>
      </w:tc>
    </w:tr>
  </w:tbl>
  <w:p w14:paraId="6B1DC47B" w14:textId="77777777" w:rsidR="003720D6" w:rsidRPr="00A133B9" w:rsidRDefault="003720D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14BE" w14:textId="77777777" w:rsidR="00D54B0E" w:rsidRDefault="00D54B0E">
      <w:r>
        <w:separator/>
      </w:r>
    </w:p>
  </w:footnote>
  <w:footnote w:type="continuationSeparator" w:id="0">
    <w:p w14:paraId="3E9C793A" w14:textId="77777777" w:rsidR="00D54B0E" w:rsidRDefault="00D54B0E">
      <w:r>
        <w:continuationSeparator/>
      </w:r>
    </w:p>
  </w:footnote>
  <w:footnote w:type="continuationNotice" w:id="1">
    <w:p w14:paraId="16DA7FE9" w14:textId="77777777" w:rsidR="00D54B0E" w:rsidRDefault="00D54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4F02" w14:textId="77777777" w:rsidR="003720D6" w:rsidRDefault="00372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D768" w14:textId="77777777" w:rsidR="003720D6" w:rsidRDefault="00372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B91F" w14:textId="77777777" w:rsidR="003720D6" w:rsidRDefault="003720D6">
    <w:pPr>
      <w:pStyle w:val="Header"/>
    </w:pPr>
  </w:p>
  <w:p w14:paraId="4737C9C1" w14:textId="77777777" w:rsidR="003720D6" w:rsidRPr="00A133B9" w:rsidRDefault="003720D6" w:rsidP="00B73ECB">
    <w:pPr>
      <w:pStyle w:val="Header1"/>
      <w:rPr>
        <w:lang w:val="fr-FR"/>
      </w:rPr>
    </w:pPr>
    <w:r w:rsidRPr="00A133B9">
      <w:rPr>
        <w:lang w:val="fr-FR"/>
      </w:rPr>
      <w:t>Fonds Claire et Michel Lemay</w:t>
    </w:r>
  </w:p>
  <w:p w14:paraId="4243D5BE" w14:textId="77777777" w:rsidR="003720D6" w:rsidRPr="00A133B9" w:rsidRDefault="003720D6" w:rsidP="00B73ECB">
    <w:pPr>
      <w:pStyle w:val="Header2"/>
      <w:rPr>
        <w:lang w:val="fr-FR"/>
      </w:rPr>
    </w:pPr>
    <w:r w:rsidRPr="00A133B9">
      <w:rPr>
        <w:lang w:val="fr-FR"/>
      </w:rPr>
      <w:t>géré par la Fondation Roi Baudouin</w:t>
    </w:r>
  </w:p>
  <w:p w14:paraId="3F6BB1B1" w14:textId="77777777" w:rsidR="003720D6" w:rsidRPr="00A133B9" w:rsidRDefault="003720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95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F81774"/>
    <w:multiLevelType w:val="multilevel"/>
    <w:tmpl w:val="392CCE3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17B76ADA"/>
    <w:multiLevelType w:val="multilevel"/>
    <w:tmpl w:val="1C3A5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7F7A4B"/>
    <w:multiLevelType w:val="multilevel"/>
    <w:tmpl w:val="1C3A5E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8B73B03"/>
    <w:multiLevelType w:val="hybridMultilevel"/>
    <w:tmpl w:val="24E250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B5C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2C5BB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E4B2605"/>
    <w:multiLevelType w:val="hybridMultilevel"/>
    <w:tmpl w:val="22C06AB8"/>
    <w:lvl w:ilvl="0" w:tplc="CCEC2880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50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A76C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E332EB"/>
    <w:multiLevelType w:val="multilevel"/>
    <w:tmpl w:val="21704B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9038A3"/>
    <w:multiLevelType w:val="hybridMultilevel"/>
    <w:tmpl w:val="A80091AA"/>
    <w:lvl w:ilvl="0" w:tplc="9C4A52C4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416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C27E1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7A690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C65A9"/>
    <w:multiLevelType w:val="multilevel"/>
    <w:tmpl w:val="21704B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9" w15:restartNumberingAfterBreak="0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2F57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39B5CF8"/>
    <w:multiLevelType w:val="multilevel"/>
    <w:tmpl w:val="EABCAE7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22" w15:restartNumberingAfterBreak="0">
    <w:nsid w:val="7BD3230B"/>
    <w:multiLevelType w:val="multilevel"/>
    <w:tmpl w:val="92A43E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7C6C204E"/>
    <w:multiLevelType w:val="multilevel"/>
    <w:tmpl w:val="1C3A5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8"/>
  </w:num>
  <w:num w:numId="5">
    <w:abstractNumId w:val="12"/>
  </w:num>
  <w:num w:numId="6">
    <w:abstractNumId w:val="22"/>
  </w:num>
  <w:num w:numId="7">
    <w:abstractNumId w:val="1"/>
  </w:num>
  <w:num w:numId="8">
    <w:abstractNumId w:val="6"/>
  </w:num>
  <w:num w:numId="9">
    <w:abstractNumId w:val="20"/>
  </w:num>
  <w:num w:numId="10">
    <w:abstractNumId w:val="7"/>
  </w:num>
  <w:num w:numId="11">
    <w:abstractNumId w:val="11"/>
  </w:num>
  <w:num w:numId="12">
    <w:abstractNumId w:val="21"/>
  </w:num>
  <w:num w:numId="13">
    <w:abstractNumId w:val="15"/>
  </w:num>
  <w:num w:numId="14">
    <w:abstractNumId w:val="23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ECB"/>
    <w:rsid w:val="00055A71"/>
    <w:rsid w:val="000F4029"/>
    <w:rsid w:val="001002B7"/>
    <w:rsid w:val="00103CDB"/>
    <w:rsid w:val="00113CEF"/>
    <w:rsid w:val="00131EA2"/>
    <w:rsid w:val="001347F2"/>
    <w:rsid w:val="001F762D"/>
    <w:rsid w:val="00221D50"/>
    <w:rsid w:val="0023789A"/>
    <w:rsid w:val="002A4AD4"/>
    <w:rsid w:val="002B1181"/>
    <w:rsid w:val="002B1707"/>
    <w:rsid w:val="002D53E9"/>
    <w:rsid w:val="003003C1"/>
    <w:rsid w:val="003720D6"/>
    <w:rsid w:val="00373189"/>
    <w:rsid w:val="003A4808"/>
    <w:rsid w:val="003B0A22"/>
    <w:rsid w:val="003B4AB3"/>
    <w:rsid w:val="003C08E5"/>
    <w:rsid w:val="00405592"/>
    <w:rsid w:val="00416131"/>
    <w:rsid w:val="004252C6"/>
    <w:rsid w:val="00450C17"/>
    <w:rsid w:val="00451F2C"/>
    <w:rsid w:val="00457950"/>
    <w:rsid w:val="004E4D4B"/>
    <w:rsid w:val="004F5AA4"/>
    <w:rsid w:val="00541634"/>
    <w:rsid w:val="0054349F"/>
    <w:rsid w:val="00564B97"/>
    <w:rsid w:val="005B4D53"/>
    <w:rsid w:val="006128BE"/>
    <w:rsid w:val="006529AF"/>
    <w:rsid w:val="00683105"/>
    <w:rsid w:val="00697DBA"/>
    <w:rsid w:val="0070487A"/>
    <w:rsid w:val="00706AC8"/>
    <w:rsid w:val="00725184"/>
    <w:rsid w:val="00742799"/>
    <w:rsid w:val="0078204F"/>
    <w:rsid w:val="0079297B"/>
    <w:rsid w:val="0079415F"/>
    <w:rsid w:val="007E63EB"/>
    <w:rsid w:val="008228B9"/>
    <w:rsid w:val="00857CC8"/>
    <w:rsid w:val="00874E4C"/>
    <w:rsid w:val="00890031"/>
    <w:rsid w:val="008945D4"/>
    <w:rsid w:val="008B2B3E"/>
    <w:rsid w:val="008C4059"/>
    <w:rsid w:val="008D1C5D"/>
    <w:rsid w:val="008E49CA"/>
    <w:rsid w:val="008E4C1A"/>
    <w:rsid w:val="009437BC"/>
    <w:rsid w:val="009438BC"/>
    <w:rsid w:val="00955CBE"/>
    <w:rsid w:val="009D7AC1"/>
    <w:rsid w:val="009F6576"/>
    <w:rsid w:val="00A133B9"/>
    <w:rsid w:val="00A15535"/>
    <w:rsid w:val="00A21F24"/>
    <w:rsid w:val="00A331A8"/>
    <w:rsid w:val="00A37269"/>
    <w:rsid w:val="00A4768C"/>
    <w:rsid w:val="00A6763B"/>
    <w:rsid w:val="00A8181B"/>
    <w:rsid w:val="00A858C9"/>
    <w:rsid w:val="00A976F1"/>
    <w:rsid w:val="00AB2C1B"/>
    <w:rsid w:val="00AB5C5A"/>
    <w:rsid w:val="00AC612B"/>
    <w:rsid w:val="00B03A1D"/>
    <w:rsid w:val="00B13534"/>
    <w:rsid w:val="00B5754F"/>
    <w:rsid w:val="00B63380"/>
    <w:rsid w:val="00B73ECB"/>
    <w:rsid w:val="00B907E8"/>
    <w:rsid w:val="00BB7E09"/>
    <w:rsid w:val="00BC4C53"/>
    <w:rsid w:val="00BD4643"/>
    <w:rsid w:val="00BD4E81"/>
    <w:rsid w:val="00BE491E"/>
    <w:rsid w:val="00C11180"/>
    <w:rsid w:val="00C17322"/>
    <w:rsid w:val="00C441AC"/>
    <w:rsid w:val="00C645CB"/>
    <w:rsid w:val="00C65938"/>
    <w:rsid w:val="00C96A1B"/>
    <w:rsid w:val="00CC53F2"/>
    <w:rsid w:val="00CC5EF1"/>
    <w:rsid w:val="00D00214"/>
    <w:rsid w:val="00D36540"/>
    <w:rsid w:val="00D40190"/>
    <w:rsid w:val="00D47047"/>
    <w:rsid w:val="00D54B0E"/>
    <w:rsid w:val="00D65860"/>
    <w:rsid w:val="00DB77AF"/>
    <w:rsid w:val="00DE192D"/>
    <w:rsid w:val="00DE7A66"/>
    <w:rsid w:val="00E24E00"/>
    <w:rsid w:val="00E559A1"/>
    <w:rsid w:val="00E73665"/>
    <w:rsid w:val="00EA146E"/>
    <w:rsid w:val="00EB5F6D"/>
    <w:rsid w:val="00ED7869"/>
    <w:rsid w:val="00EE1246"/>
    <w:rsid w:val="00EF6E2E"/>
    <w:rsid w:val="00F0530E"/>
    <w:rsid w:val="00FC0CA1"/>
    <w:rsid w:val="00FD4E05"/>
    <w:rsid w:val="00FE047E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A3F005"/>
  <w15:chartTrackingRefBased/>
  <w15:docId w15:val="{8324B688-D859-4F87-AB65-D0B4C0FC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0214"/>
    <w:pPr>
      <w:tabs>
        <w:tab w:val="left" w:pos="2835"/>
        <w:tab w:val="left" w:pos="6804"/>
      </w:tabs>
    </w:pPr>
    <w:rPr>
      <w:rFonts w:ascii="Garamond" w:eastAsia="Arial Unicode MS" w:hAnsi="Garamond"/>
      <w:sz w:val="24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00214"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rFonts w:cs="Arial"/>
      <w:b/>
      <w:bCs/>
      <w:i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D00214"/>
    <w:pPr>
      <w:numPr>
        <w:ilvl w:val="1"/>
      </w:numPr>
      <w:tabs>
        <w:tab w:val="left" w:pos="851"/>
      </w:tabs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qFormat/>
    <w:rsid w:val="00D00214"/>
    <w:pPr>
      <w:numPr>
        <w:ilvl w:val="2"/>
      </w:numPr>
      <w:tabs>
        <w:tab w:val="clear" w:pos="851"/>
        <w:tab w:val="left" w:pos="1134"/>
      </w:tabs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qFormat/>
    <w:rsid w:val="00D00214"/>
    <w:pPr>
      <w:numPr>
        <w:ilvl w:val="0"/>
        <w:numId w:val="0"/>
      </w:numPr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qFormat/>
    <w:rsid w:val="00D00214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rsid w:val="00D00214"/>
    <w:pPr>
      <w:tabs>
        <w:tab w:val="clear" w:pos="1134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rsid w:val="00D00214"/>
    <w:p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rsid w:val="00D00214"/>
    <w:pPr>
      <w:outlineLvl w:val="7"/>
    </w:pPr>
    <w:rPr>
      <w:iCs/>
    </w:rPr>
  </w:style>
  <w:style w:type="paragraph" w:styleId="Heading9">
    <w:name w:val="heading 9"/>
    <w:basedOn w:val="Heading8"/>
    <w:next w:val="Normal"/>
    <w:qFormat/>
    <w:rsid w:val="00D00214"/>
    <w:pPr>
      <w:outlineLvl w:val="8"/>
    </w:pPr>
    <w:rPr>
      <w:szCs w:val="22"/>
    </w:rPr>
  </w:style>
  <w:style w:type="character" w:default="1" w:styleId="DefaultParagraphFont">
    <w:name w:val="Default Paragraph Font"/>
    <w:semiHidden/>
    <w:rsid w:val="00D002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0214"/>
  </w:style>
  <w:style w:type="paragraph" w:styleId="Header">
    <w:name w:val="header"/>
    <w:basedOn w:val="Normal"/>
    <w:link w:val="HeaderChar"/>
    <w:rsid w:val="00D002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0214"/>
    <w:pPr>
      <w:tabs>
        <w:tab w:val="clear" w:pos="2835"/>
        <w:tab w:val="clear" w:pos="6804"/>
        <w:tab w:val="right" w:pos="9072"/>
      </w:tabs>
    </w:pPr>
    <w:rPr>
      <w:rFonts w:ascii="Cronos LOGO" w:eastAsia="Times New Roman" w:hAnsi="Cronos LOGO"/>
      <w:sz w:val="18"/>
    </w:rPr>
  </w:style>
  <w:style w:type="paragraph" w:customStyle="1" w:styleId="Footer1">
    <w:name w:val="Footer1"/>
    <w:basedOn w:val="Header2"/>
    <w:next w:val="Normal"/>
    <w:link w:val="Footer1Char"/>
    <w:rsid w:val="00D00214"/>
    <w:pPr>
      <w:tabs>
        <w:tab w:val="clear" w:pos="2835"/>
        <w:tab w:val="clear" w:pos="6804"/>
        <w:tab w:val="right" w:pos="8505"/>
        <w:tab w:val="right" w:pos="9072"/>
      </w:tabs>
      <w:jc w:val="left"/>
    </w:pPr>
    <w:rPr>
      <w:sz w:val="24"/>
      <w:szCs w:val="24"/>
    </w:rPr>
  </w:style>
  <w:style w:type="character" w:customStyle="1" w:styleId="HeaderChar">
    <w:name w:val="Header Char"/>
    <w:link w:val="Header"/>
    <w:rsid w:val="00D00214"/>
    <w:rPr>
      <w:rFonts w:ascii="Garamond" w:eastAsia="Arial Unicode MS" w:hAnsi="Garamond"/>
      <w:sz w:val="24"/>
      <w:szCs w:val="24"/>
      <w:lang w:val="nl-BE" w:eastAsia="en-US"/>
    </w:rPr>
  </w:style>
  <w:style w:type="paragraph" w:customStyle="1" w:styleId="Header2">
    <w:name w:val="Header2"/>
    <w:basedOn w:val="Normal"/>
    <w:next w:val="Normal"/>
    <w:link w:val="Header2Char"/>
    <w:rsid w:val="00D00214"/>
    <w:pPr>
      <w:spacing w:before="60"/>
      <w:jc w:val="right"/>
    </w:pPr>
    <w:rPr>
      <w:rFonts w:ascii="Cronos LOGO" w:eastAsia="Times New Roman" w:hAnsi="Cronos LOGO"/>
      <w:spacing w:val="6"/>
      <w:sz w:val="21"/>
      <w:szCs w:val="20"/>
    </w:rPr>
  </w:style>
  <w:style w:type="paragraph" w:customStyle="1" w:styleId="ID">
    <w:name w:val="ID"/>
    <w:basedOn w:val="Normal"/>
    <w:rsid w:val="00D00214"/>
    <w:pPr>
      <w:jc w:val="right"/>
    </w:pPr>
    <w:rPr>
      <w:rFonts w:ascii="Verdana" w:hAnsi="Verdana"/>
      <w:sz w:val="12"/>
      <w:szCs w:val="12"/>
    </w:rPr>
  </w:style>
  <w:style w:type="character" w:customStyle="1" w:styleId="Header2Char">
    <w:name w:val="Header2 Char"/>
    <w:link w:val="Header2"/>
    <w:rsid w:val="00D00214"/>
    <w:rPr>
      <w:rFonts w:ascii="Cronos LOGO" w:eastAsia="Times New Roman" w:hAnsi="Cronos LOGO"/>
      <w:spacing w:val="6"/>
      <w:sz w:val="21"/>
      <w:lang w:val="nl-BE" w:eastAsia="en-US"/>
    </w:rPr>
  </w:style>
  <w:style w:type="paragraph" w:customStyle="1" w:styleId="FooterKBS">
    <w:name w:val="FooterKBS"/>
    <w:basedOn w:val="Address"/>
    <w:rsid w:val="00D00214"/>
    <w:pPr>
      <w:ind w:left="4196"/>
    </w:pPr>
    <w:rPr>
      <w:rFonts w:ascii="Cronos LOGO" w:hAnsi="Cronos LOGO"/>
      <w:noProof/>
      <w:sz w:val="18"/>
    </w:rPr>
  </w:style>
  <w:style w:type="character" w:customStyle="1" w:styleId="Footer1Char">
    <w:name w:val="Footer1 Char"/>
    <w:link w:val="Footer1"/>
    <w:rsid w:val="00D00214"/>
    <w:rPr>
      <w:rFonts w:ascii="Cronos LOGO" w:eastAsia="Times New Roman" w:hAnsi="Cronos LOGO"/>
      <w:spacing w:val="6"/>
      <w:sz w:val="24"/>
      <w:szCs w:val="24"/>
      <w:lang w:val="nl-BE" w:eastAsia="en-US"/>
    </w:rPr>
  </w:style>
  <w:style w:type="paragraph" w:customStyle="1" w:styleId="Box10">
    <w:name w:val="Box10"/>
    <w:basedOn w:val="Normal10"/>
    <w:rsid w:val="00D002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6804"/>
        <w:tab w:val="right" w:leader="dot" w:pos="8789"/>
      </w:tabs>
    </w:pPr>
    <w:rPr>
      <w:szCs w:val="20"/>
    </w:rPr>
  </w:style>
  <w:style w:type="paragraph" w:customStyle="1" w:styleId="Footer2">
    <w:name w:val="Footer2"/>
    <w:basedOn w:val="Footer1"/>
    <w:rsid w:val="00D00214"/>
    <w:pPr>
      <w:pBdr>
        <w:top w:val="single" w:sz="4" w:space="1" w:color="auto"/>
      </w:pBdr>
    </w:pPr>
    <w:rPr>
      <w:sz w:val="16"/>
    </w:rPr>
  </w:style>
  <w:style w:type="paragraph" w:customStyle="1" w:styleId="Boxedtext">
    <w:name w:val="Boxed text"/>
    <w:basedOn w:val="Normal"/>
    <w:rsid w:val="00D00214"/>
    <w:p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ind w:left="2835" w:hanging="2835"/>
    </w:pPr>
    <w:rPr>
      <w:sz w:val="20"/>
    </w:rPr>
  </w:style>
  <w:style w:type="paragraph" w:customStyle="1" w:styleId="Hidden">
    <w:name w:val="Hidden"/>
    <w:basedOn w:val="Normal"/>
    <w:rsid w:val="00D00214"/>
    <w:pPr>
      <w:shd w:val="clear" w:color="auto" w:fill="F3F3F3"/>
    </w:pPr>
    <w:rPr>
      <w:vanish/>
    </w:rPr>
  </w:style>
  <w:style w:type="paragraph" w:customStyle="1" w:styleId="Tableheading">
    <w:name w:val="Table heading"/>
    <w:basedOn w:val="Normal"/>
    <w:rsid w:val="00D00214"/>
    <w:rPr>
      <w:rFonts w:cs="Arial"/>
      <w:b/>
      <w:bCs/>
    </w:rPr>
  </w:style>
  <w:style w:type="paragraph" w:customStyle="1" w:styleId="Tabletext">
    <w:name w:val="Table text"/>
    <w:basedOn w:val="Normal"/>
    <w:rsid w:val="00D00214"/>
    <w:rPr>
      <w:rFonts w:cs="Arial"/>
    </w:rPr>
  </w:style>
  <w:style w:type="paragraph" w:styleId="Title">
    <w:name w:val="Title"/>
    <w:basedOn w:val="Normal"/>
    <w:qFormat/>
    <w:rsid w:val="00D00214"/>
    <w:pPr>
      <w:spacing w:before="240" w:after="120"/>
    </w:pPr>
    <w:rPr>
      <w:rFonts w:cs="Arial"/>
      <w:b/>
      <w:bCs/>
      <w:kern w:val="28"/>
      <w:sz w:val="32"/>
      <w:szCs w:val="32"/>
    </w:rPr>
  </w:style>
  <w:style w:type="paragraph" w:customStyle="1" w:styleId="Bulletedtext">
    <w:name w:val="Bulleted text"/>
    <w:basedOn w:val="Normal"/>
    <w:rsid w:val="00D00214"/>
    <w:pPr>
      <w:numPr>
        <w:numId w:val="3"/>
      </w:numPr>
      <w:tabs>
        <w:tab w:val="clear" w:pos="780"/>
        <w:tab w:val="left" w:pos="567"/>
      </w:tabs>
      <w:ind w:left="568" w:hanging="284"/>
    </w:pPr>
  </w:style>
  <w:style w:type="character" w:customStyle="1" w:styleId="Heading1Char">
    <w:name w:val="Heading 1 Char"/>
    <w:link w:val="Heading1"/>
    <w:rsid w:val="00D00214"/>
    <w:rPr>
      <w:rFonts w:ascii="Garamond" w:eastAsia="Arial Unicode MS" w:hAnsi="Garamond" w:cs="Arial"/>
      <w:b/>
      <w:bCs/>
      <w:i/>
      <w:kern w:val="32"/>
      <w:sz w:val="28"/>
      <w:szCs w:val="32"/>
      <w:lang w:val="nl-BE" w:eastAsia="en-US"/>
    </w:rPr>
  </w:style>
  <w:style w:type="paragraph" w:customStyle="1" w:styleId="Head1">
    <w:name w:val="Head 1"/>
    <w:basedOn w:val="Heading1"/>
    <w:rsid w:val="00D00214"/>
    <w:pPr>
      <w:numPr>
        <w:numId w:val="0"/>
      </w:numPr>
    </w:pPr>
  </w:style>
  <w:style w:type="paragraph" w:customStyle="1" w:styleId="Head3">
    <w:name w:val="Head 3"/>
    <w:basedOn w:val="Heading3"/>
    <w:rsid w:val="00D00214"/>
    <w:pPr>
      <w:numPr>
        <w:ilvl w:val="0"/>
        <w:numId w:val="0"/>
      </w:numPr>
    </w:pPr>
  </w:style>
  <w:style w:type="paragraph" w:customStyle="1" w:styleId="Head2">
    <w:name w:val="Head 2"/>
    <w:basedOn w:val="Heading2"/>
    <w:rsid w:val="00D00214"/>
    <w:pPr>
      <w:numPr>
        <w:ilvl w:val="0"/>
        <w:numId w:val="0"/>
      </w:numPr>
    </w:pPr>
  </w:style>
  <w:style w:type="paragraph" w:customStyle="1" w:styleId="Reference">
    <w:name w:val="Reference"/>
    <w:basedOn w:val="Normal"/>
    <w:next w:val="Normal"/>
    <w:rsid w:val="00D00214"/>
    <w:rPr>
      <w:rFonts w:ascii="Verdana" w:hAnsi="Verdana"/>
      <w:smallCaps/>
      <w:sz w:val="12"/>
      <w:szCs w:val="12"/>
    </w:rPr>
  </w:style>
  <w:style w:type="paragraph" w:customStyle="1" w:styleId="cost">
    <w:name w:val="cost"/>
    <w:basedOn w:val="Normal10"/>
    <w:rsid w:val="00D00214"/>
    <w:pPr>
      <w:tabs>
        <w:tab w:val="clear" w:pos="2835"/>
        <w:tab w:val="clear" w:pos="6804"/>
        <w:tab w:val="left" w:pos="1701"/>
        <w:tab w:val="left" w:pos="4536"/>
        <w:tab w:val="right" w:leader="dot" w:pos="8789"/>
      </w:tabs>
    </w:pPr>
  </w:style>
  <w:style w:type="paragraph" w:customStyle="1" w:styleId="FooterIndication">
    <w:name w:val="FooterIndication"/>
    <w:basedOn w:val="Footer"/>
    <w:rsid w:val="00D00214"/>
    <w:pPr>
      <w:tabs>
        <w:tab w:val="left" w:pos="851"/>
      </w:tabs>
    </w:pPr>
    <w:rPr>
      <w:sz w:val="15"/>
    </w:rPr>
  </w:style>
  <w:style w:type="paragraph" w:customStyle="1" w:styleId="Bulletedtext2">
    <w:name w:val="Bulleted text2"/>
    <w:basedOn w:val="Bulletedtext"/>
    <w:rsid w:val="00D00214"/>
    <w:pPr>
      <w:numPr>
        <w:ilvl w:val="1"/>
      </w:numPr>
      <w:tabs>
        <w:tab w:val="clear" w:pos="567"/>
        <w:tab w:val="clear" w:pos="1500"/>
        <w:tab w:val="left" w:pos="851"/>
      </w:tabs>
      <w:ind w:left="851" w:hanging="284"/>
    </w:pPr>
  </w:style>
  <w:style w:type="paragraph" w:customStyle="1" w:styleId="Bulletedtext3">
    <w:name w:val="Bulleted text3"/>
    <w:basedOn w:val="Bulletedtext2"/>
    <w:rsid w:val="00D00214"/>
    <w:pPr>
      <w:numPr>
        <w:ilvl w:val="2"/>
      </w:numPr>
      <w:tabs>
        <w:tab w:val="clear" w:pos="851"/>
        <w:tab w:val="clear" w:pos="2220"/>
        <w:tab w:val="num" w:pos="1134"/>
      </w:tabs>
      <w:ind w:left="1135" w:hanging="284"/>
    </w:pPr>
  </w:style>
  <w:style w:type="paragraph" w:customStyle="1" w:styleId="Address">
    <w:name w:val="Address"/>
    <w:basedOn w:val="Normal"/>
    <w:link w:val="AddressChar"/>
    <w:rsid w:val="00D00214"/>
    <w:pPr>
      <w:ind w:left="4536"/>
    </w:pPr>
  </w:style>
  <w:style w:type="character" w:customStyle="1" w:styleId="AddressChar">
    <w:name w:val="Address Char"/>
    <w:link w:val="Address"/>
    <w:rsid w:val="00D00214"/>
    <w:rPr>
      <w:rFonts w:ascii="Garamond" w:eastAsia="Arial Unicode MS" w:hAnsi="Garamond"/>
      <w:sz w:val="24"/>
      <w:szCs w:val="24"/>
      <w:lang w:val="nl-BE" w:eastAsia="en-US"/>
    </w:rPr>
  </w:style>
  <w:style w:type="paragraph" w:customStyle="1" w:styleId="Normal10">
    <w:name w:val="Normal10"/>
    <w:basedOn w:val="Normal"/>
    <w:rsid w:val="00D00214"/>
    <w:rPr>
      <w:sz w:val="20"/>
    </w:rPr>
  </w:style>
  <w:style w:type="paragraph" w:styleId="BalloonText">
    <w:name w:val="Balloon Text"/>
    <w:basedOn w:val="Normal"/>
    <w:semiHidden/>
    <w:rsid w:val="00D00214"/>
    <w:rPr>
      <w:rFonts w:ascii="Tahoma" w:hAnsi="Tahoma" w:cs="Tahoma"/>
      <w:sz w:val="16"/>
      <w:szCs w:val="16"/>
    </w:rPr>
  </w:style>
  <w:style w:type="paragraph" w:customStyle="1" w:styleId="Footer1b">
    <w:name w:val="Footer1b"/>
    <w:basedOn w:val="Footer1"/>
    <w:rsid w:val="00D00214"/>
    <w:pPr>
      <w:tabs>
        <w:tab w:val="clear" w:pos="8505"/>
      </w:tabs>
    </w:pPr>
  </w:style>
  <w:style w:type="paragraph" w:customStyle="1" w:styleId="Header1">
    <w:name w:val="Header1"/>
    <w:basedOn w:val="Normal"/>
    <w:rsid w:val="00D00214"/>
    <w:pPr>
      <w:pBdr>
        <w:bottom w:val="single" w:sz="6" w:space="1" w:color="auto"/>
      </w:pBdr>
      <w:tabs>
        <w:tab w:val="right" w:pos="7938"/>
      </w:tabs>
      <w:spacing w:before="40"/>
    </w:pPr>
    <w:rPr>
      <w:rFonts w:ascii="Cronos LOGO" w:eastAsia="Times New Roman" w:hAnsi="Cronos LOGO"/>
      <w:spacing w:val="6"/>
      <w:sz w:val="38"/>
      <w:szCs w:val="40"/>
    </w:rPr>
  </w:style>
  <w:style w:type="character" w:styleId="Hyperlink">
    <w:name w:val="Hyperlink"/>
    <w:rsid w:val="00A1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0GIFTS\template\KBF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0" ma:contentTypeDescription="Create a new document." ma:contentTypeScope="" ma:versionID="15ea97f0c79e9e1aef8b7eaeb3ac5196">
  <xsd:schema xmlns:xsd="http://www.w3.org/2001/XMLSchema" xmlns:xs="http://www.w3.org/2001/XMLSchema" xmlns:p="http://schemas.microsoft.com/office/2006/metadata/properties" xmlns:ns2="a1a8f9cf-fb1a-4781-9056-06c455a50c07" targetNamespace="http://schemas.microsoft.com/office/2006/metadata/properties" ma:root="true" ma:fieldsID="34abfdd107d3b98d103d82b7deb36635" ns2:_="">
    <xsd:import namespace="a1a8f9cf-fb1a-4781-9056-06c455a50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E556C-A5BA-4922-A264-95DAA375B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04B7F-9999-4C1B-8BC2-B61B915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B02AB-7293-4F9E-8171-0BC9C18B49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EC8D6-470C-4F79-AA2B-1AB180E45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KBF5.dot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aux candidats</vt:lpstr>
    </vt:vector>
  </TitlesOfParts>
  <Company>KBS - FRB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aux candidats</dc:title>
  <dc:subject/>
  <dc:creator>Anne De Breuck</dc:creator>
  <cp:keywords/>
  <cp:lastModifiedBy>DE BREUCK Anne</cp:lastModifiedBy>
  <cp:revision>35</cp:revision>
  <dcterms:created xsi:type="dcterms:W3CDTF">2020-04-06T21:58:00Z</dcterms:created>
  <dcterms:modified xsi:type="dcterms:W3CDTF">2020-04-22T08:48:00Z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 BREUCK Anne</vt:lpwstr>
  </property>
  <property fmtid="{D5CDD505-2E9C-101B-9397-08002B2CF9AE}" pid="3" name="Order">
    <vt:lpwstr>529600.000000000</vt:lpwstr>
  </property>
  <property fmtid="{D5CDD505-2E9C-101B-9397-08002B2CF9AE}" pid="4" name="display_urn:schemas-microsoft-com:office:office#Author">
    <vt:lpwstr>DE BREUCK Anne</vt:lpwstr>
  </property>
  <property fmtid="{D5CDD505-2E9C-101B-9397-08002B2CF9AE}" pid="5" name="ContentTypeId">
    <vt:lpwstr>0x010100582BCE1B4C90CF4CB8EB5C915A5ECEDC</vt:lpwstr>
  </property>
</Properties>
</file>