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C31C" w14:textId="77777777" w:rsidR="00705E0E" w:rsidRPr="00D63E7C" w:rsidRDefault="00705E0E" w:rsidP="00B94B7F">
      <w:pPr>
        <w:spacing w:line="276" w:lineRule="auto"/>
        <w:jc w:val="center"/>
        <w:rPr>
          <w:b/>
          <w:bCs/>
          <w:sz w:val="32"/>
          <w:szCs w:val="32"/>
          <w:lang w:val="fr-BE"/>
        </w:rPr>
      </w:pPr>
      <w:r w:rsidRPr="00D63E7C">
        <w:rPr>
          <w:b/>
          <w:bCs/>
          <w:sz w:val="32"/>
          <w:szCs w:val="32"/>
          <w:lang w:val="fr-BE"/>
        </w:rPr>
        <w:t>Note aux candidats</w:t>
      </w:r>
    </w:p>
    <w:p w14:paraId="0DBA05DB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347F5FA0" w14:textId="77777777" w:rsidR="00705E0E" w:rsidRDefault="00705E0E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____________________________________</w:t>
      </w:r>
    </w:p>
    <w:p w14:paraId="15845864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113FB0F3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53740BBB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25F2DA47" w14:textId="77777777" w:rsidR="00705E0E" w:rsidRDefault="00705E0E" w:rsidP="00B94B7F">
      <w:pPr>
        <w:pStyle w:val="Paragraphedeliste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 w:rsidRPr="00705E0E">
        <w:rPr>
          <w:b/>
          <w:bCs/>
          <w:sz w:val="28"/>
          <w:szCs w:val="28"/>
          <w:lang w:val="fr-BE"/>
        </w:rPr>
        <w:t>But du Fonds</w:t>
      </w:r>
    </w:p>
    <w:p w14:paraId="70ACAB5C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2B36D2E6" w14:textId="77777777" w:rsidR="002D57CC" w:rsidRPr="002D57CC" w:rsidRDefault="002D57CC" w:rsidP="00B94B7F">
      <w:pPr>
        <w:spacing w:line="276" w:lineRule="auto"/>
        <w:jc w:val="both"/>
        <w:rPr>
          <w:lang w:val="fr-BE"/>
        </w:rPr>
      </w:pPr>
      <w:r w:rsidRPr="002D57CC">
        <w:rPr>
          <w:lang w:val="fr-BE"/>
        </w:rPr>
        <w:t xml:space="preserve">Le Fonds </w:t>
      </w:r>
      <w:r w:rsidRPr="002D57CC">
        <w:rPr>
          <w:color w:val="000000"/>
          <w:lang w:val="fr-BE"/>
        </w:rPr>
        <w:t xml:space="preserve">des Amis du Patrimoine Culturel Immobilier </w:t>
      </w:r>
      <w:r w:rsidRPr="002D57CC">
        <w:rPr>
          <w:lang w:val="fr-BE"/>
        </w:rPr>
        <w:t>a pour but de</w:t>
      </w:r>
      <w:r w:rsidR="00BF52AD">
        <w:rPr>
          <w:lang w:val="fr-BE"/>
        </w:rPr>
        <w:t xml:space="preserve"> faciliter et d’encourager le mécénat en vue de </w:t>
      </w:r>
      <w:r w:rsidRPr="00B94B7F">
        <w:rPr>
          <w:b/>
          <w:i/>
          <w:lang w:val="fr-BE"/>
        </w:rPr>
        <w:t xml:space="preserve">promouvoir et de contribuer à la sauvegarde, l’entretien, la conservation, la restauration et la mise en valeur des monuments, des sites et des ensembles architecturaux </w:t>
      </w:r>
      <w:r w:rsidRPr="002D57CC">
        <w:rPr>
          <w:lang w:val="fr-BE"/>
        </w:rPr>
        <w:t xml:space="preserve">accessibles au public, avec une attention toute particulière </w:t>
      </w:r>
      <w:r w:rsidR="00777AD6">
        <w:rPr>
          <w:lang w:val="fr-BE"/>
        </w:rPr>
        <w:t xml:space="preserve">pour les </w:t>
      </w:r>
      <w:r w:rsidRPr="002D57CC">
        <w:rPr>
          <w:lang w:val="fr-BE"/>
        </w:rPr>
        <w:t>biens protégés par l’autorité compétente. Les immeubles peuvent se situer en Belgique ainsi qu’en Europe.</w:t>
      </w:r>
    </w:p>
    <w:p w14:paraId="71457960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114E3E15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01B055D1" w14:textId="77777777" w:rsidR="002D57CC" w:rsidRPr="002D57CC" w:rsidRDefault="002D57CC" w:rsidP="00B94B7F">
      <w:pPr>
        <w:spacing w:line="276" w:lineRule="auto"/>
        <w:jc w:val="both"/>
        <w:rPr>
          <w:lang w:val="fr-BE"/>
        </w:rPr>
      </w:pPr>
    </w:p>
    <w:p w14:paraId="64D8F084" w14:textId="77777777" w:rsidR="002D57CC" w:rsidRDefault="002D57CC" w:rsidP="00B94B7F">
      <w:pPr>
        <w:pStyle w:val="Paragraphedeliste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Action du Fonds</w:t>
      </w:r>
    </w:p>
    <w:p w14:paraId="718FDDA1" w14:textId="77777777" w:rsidR="002D57CC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37366CFD" w14:textId="70D3B090" w:rsidR="00BF52AD" w:rsidRDefault="002D57CC">
      <w:pPr>
        <w:spacing w:line="276" w:lineRule="auto"/>
        <w:jc w:val="both"/>
        <w:rPr>
          <w:color w:val="000000"/>
          <w:lang w:val="fr-BE"/>
        </w:rPr>
      </w:pPr>
      <w:r>
        <w:rPr>
          <w:color w:val="000000"/>
          <w:lang w:val="fr-BE"/>
        </w:rPr>
        <w:t>Le</w:t>
      </w:r>
      <w:r w:rsidRPr="00526BF3">
        <w:rPr>
          <w:color w:val="000000"/>
          <w:lang w:val="fr-BE"/>
        </w:rPr>
        <w:t xml:space="preserve"> Fonds </w:t>
      </w:r>
      <w:r w:rsidR="00171C92">
        <w:rPr>
          <w:color w:val="000000"/>
          <w:lang w:val="fr-BE"/>
        </w:rPr>
        <w:t xml:space="preserve">offre une aide logistique aux </w:t>
      </w:r>
      <w:r w:rsidRPr="00526BF3">
        <w:rPr>
          <w:color w:val="000000"/>
          <w:lang w:val="fr-BE"/>
        </w:rPr>
        <w:t xml:space="preserve">propriétaires (particuliers ou personnes morales, sans exclure les propriétés publiques, comme les églises) de biens </w:t>
      </w:r>
      <w:r>
        <w:rPr>
          <w:color w:val="000000"/>
          <w:lang w:val="fr-BE"/>
        </w:rPr>
        <w:t xml:space="preserve">classés ou d’importance historique et artistique </w:t>
      </w:r>
      <w:r w:rsidRPr="00526BF3">
        <w:rPr>
          <w:color w:val="000000"/>
          <w:lang w:val="fr-BE"/>
        </w:rPr>
        <w:t xml:space="preserve">pour leurs </w:t>
      </w:r>
      <w:r w:rsidRPr="008D6EAE">
        <w:rPr>
          <w:b/>
          <w:i/>
          <w:color w:val="000000"/>
          <w:lang w:val="fr-BE"/>
        </w:rPr>
        <w:t>travaux d</w:t>
      </w:r>
      <w:r w:rsidR="00EE7BB6">
        <w:rPr>
          <w:b/>
          <w:i/>
          <w:color w:val="000000"/>
          <w:lang w:val="fr-BE"/>
        </w:rPr>
        <w:t>e conservation</w:t>
      </w:r>
      <w:r w:rsidRPr="008D6EAE">
        <w:rPr>
          <w:b/>
          <w:i/>
          <w:color w:val="000000"/>
          <w:lang w:val="fr-BE"/>
        </w:rPr>
        <w:t xml:space="preserve"> et de restauration</w:t>
      </w:r>
      <w:r w:rsidR="00777AD6">
        <w:rPr>
          <w:b/>
          <w:i/>
          <w:color w:val="000000"/>
          <w:lang w:val="fr-BE"/>
        </w:rPr>
        <w:t xml:space="preserve">. </w:t>
      </w:r>
      <w:r>
        <w:rPr>
          <w:lang w:val="fr-BE"/>
        </w:rPr>
        <w:t>Cette initiative</w:t>
      </w:r>
      <w:r w:rsidRPr="00526BF3">
        <w:rPr>
          <w:lang w:val="fr-BE"/>
        </w:rPr>
        <w:t xml:space="preserve"> remonte à </w:t>
      </w:r>
      <w:r>
        <w:rPr>
          <w:color w:val="000000"/>
          <w:lang w:val="fr-BE"/>
        </w:rPr>
        <w:t>1977</w:t>
      </w:r>
      <w:r w:rsidRPr="00526BF3">
        <w:rPr>
          <w:color w:val="000000"/>
          <w:lang w:val="fr-BE"/>
        </w:rPr>
        <w:t xml:space="preserve">. </w:t>
      </w:r>
      <w:r>
        <w:rPr>
          <w:color w:val="000000"/>
          <w:lang w:val="fr-BE"/>
        </w:rPr>
        <w:t>Depuis</w:t>
      </w:r>
      <w:r w:rsidRPr="00526BF3">
        <w:rPr>
          <w:color w:val="000000"/>
          <w:lang w:val="fr-BE"/>
        </w:rPr>
        <w:t xml:space="preserve"> 2012, elle </w:t>
      </w:r>
      <w:r w:rsidRPr="00526BF3">
        <w:rPr>
          <w:lang w:val="fr-BE"/>
        </w:rPr>
        <w:t>est hébergée par la Fondation Roi Baudouin</w:t>
      </w:r>
      <w:r>
        <w:rPr>
          <w:lang w:val="fr-BE"/>
        </w:rPr>
        <w:t xml:space="preserve"> dans le cadre d’un fonds de mécénat</w:t>
      </w:r>
      <w:r w:rsidRPr="00526BF3">
        <w:rPr>
          <w:color w:val="000000"/>
          <w:lang w:val="fr-BE"/>
        </w:rPr>
        <w:t xml:space="preserve">. </w:t>
      </w:r>
    </w:p>
    <w:p w14:paraId="3DFFF75C" w14:textId="77777777" w:rsidR="00BF52AD" w:rsidRDefault="00BF52AD">
      <w:pPr>
        <w:spacing w:line="276" w:lineRule="auto"/>
        <w:jc w:val="both"/>
        <w:rPr>
          <w:color w:val="000000"/>
          <w:lang w:val="fr-BE"/>
        </w:rPr>
      </w:pPr>
    </w:p>
    <w:p w14:paraId="1FC148E9" w14:textId="4A451554" w:rsidR="002D57CC" w:rsidRDefault="00BF52AD">
      <w:pPr>
        <w:spacing w:line="276" w:lineRule="auto"/>
        <w:jc w:val="both"/>
        <w:rPr>
          <w:color w:val="000000"/>
          <w:lang w:val="fr-BE"/>
        </w:rPr>
      </w:pPr>
      <w:r>
        <w:rPr>
          <w:color w:val="000000"/>
          <w:lang w:val="fr-BE"/>
        </w:rPr>
        <w:t xml:space="preserve">Le Fonds n’octroie pas de soutien financier. Il </w:t>
      </w:r>
      <w:r w:rsidR="0067045F">
        <w:rPr>
          <w:color w:val="000000"/>
          <w:lang w:val="fr-BE"/>
        </w:rPr>
        <w:t>permet</w:t>
      </w:r>
      <w:r>
        <w:rPr>
          <w:color w:val="000000"/>
          <w:lang w:val="fr-BE"/>
        </w:rPr>
        <w:t xml:space="preserve"> la déductibilité fiscale des dons que </w:t>
      </w:r>
      <w:r w:rsidR="0067045F">
        <w:rPr>
          <w:color w:val="000000"/>
          <w:lang w:val="fr-BE"/>
        </w:rPr>
        <w:t>les propriétaires</w:t>
      </w:r>
      <w:r>
        <w:rPr>
          <w:color w:val="000000"/>
          <w:lang w:val="fr-BE"/>
        </w:rPr>
        <w:t xml:space="preserve"> auront récoltés suite à leur recherche de mécénat et offr</w:t>
      </w:r>
      <w:r w:rsidR="0067045F">
        <w:rPr>
          <w:color w:val="000000"/>
          <w:lang w:val="fr-BE"/>
        </w:rPr>
        <w:t>e</w:t>
      </w:r>
      <w:r>
        <w:rPr>
          <w:color w:val="000000"/>
          <w:lang w:val="fr-BE"/>
        </w:rPr>
        <w:t xml:space="preserve"> un label de qualité envers les mécènes contributeurs. </w:t>
      </w:r>
    </w:p>
    <w:p w14:paraId="5516C6DE" w14:textId="77777777" w:rsidR="002D57CC" w:rsidRPr="00526BF3" w:rsidRDefault="002D57CC">
      <w:pPr>
        <w:spacing w:line="276" w:lineRule="auto"/>
        <w:jc w:val="both"/>
        <w:rPr>
          <w:b/>
          <w:lang w:val="fr-BE"/>
        </w:rPr>
      </w:pPr>
    </w:p>
    <w:p w14:paraId="65D823A3" w14:textId="77777777" w:rsidR="002D57CC" w:rsidRPr="00526BF3" w:rsidRDefault="002D57CC">
      <w:pPr>
        <w:spacing w:line="276" w:lineRule="auto"/>
        <w:jc w:val="both"/>
        <w:rPr>
          <w:lang w:val="fr-BE"/>
        </w:rPr>
      </w:pPr>
      <w:r>
        <w:rPr>
          <w:lang w:val="fr-BE"/>
        </w:rPr>
        <w:t>L’action du Fonds</w:t>
      </w:r>
      <w:r w:rsidRPr="00526BF3">
        <w:rPr>
          <w:lang w:val="fr-BE"/>
        </w:rPr>
        <w:t xml:space="preserve"> est orientée sur les </w:t>
      </w:r>
      <w:r w:rsidRPr="00B94B7F">
        <w:rPr>
          <w:b/>
          <w:i/>
          <w:lang w:val="fr-BE"/>
        </w:rPr>
        <w:t>biens accessibles au public</w:t>
      </w:r>
      <w:r>
        <w:rPr>
          <w:lang w:val="fr-BE"/>
        </w:rPr>
        <w:t xml:space="preserve">. </w:t>
      </w:r>
      <w:r w:rsidRPr="00526BF3">
        <w:rPr>
          <w:color w:val="000000"/>
          <w:lang w:val="fr-BE"/>
        </w:rPr>
        <w:t xml:space="preserve">Il est à noter </w:t>
      </w:r>
      <w:r>
        <w:rPr>
          <w:color w:val="000000"/>
          <w:lang w:val="fr-BE"/>
        </w:rPr>
        <w:t>qu’</w:t>
      </w:r>
      <w:r w:rsidRPr="00526BF3">
        <w:rPr>
          <w:color w:val="000000"/>
          <w:lang w:val="fr-BE"/>
        </w:rPr>
        <w:t>en Belgique, un immeuble classé doit être visible depuis la voie publique, sans obligation d’accès effectif, sauf s’il s’agit d’intérieurs classés. Dans ce cas</w:t>
      </w:r>
      <w:r>
        <w:rPr>
          <w:color w:val="000000"/>
          <w:lang w:val="fr-BE"/>
        </w:rPr>
        <w:t xml:space="preserve"> </w:t>
      </w:r>
      <w:r w:rsidRPr="00526BF3">
        <w:rPr>
          <w:color w:val="000000"/>
          <w:lang w:val="fr-BE"/>
        </w:rPr>
        <w:t>une convention d’accessibilité (par exemple pendant les journées du patrimoine) doit être établie avec la Région dans laquelle le bien est situé.</w:t>
      </w:r>
    </w:p>
    <w:p w14:paraId="2FDC211F" w14:textId="77777777" w:rsidR="002D57CC" w:rsidRDefault="002D57CC">
      <w:pPr>
        <w:spacing w:line="276" w:lineRule="auto"/>
        <w:jc w:val="both"/>
        <w:rPr>
          <w:lang w:val="fr-BE"/>
        </w:rPr>
      </w:pPr>
    </w:p>
    <w:p w14:paraId="3900C0C5" w14:textId="77777777" w:rsidR="002D57CC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6CF012D1" w14:textId="77777777" w:rsidR="002D57CC" w:rsidRPr="00B94B7F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510EC02E" w14:textId="77777777" w:rsidR="002D57CC" w:rsidRPr="00705E0E" w:rsidRDefault="002D57CC" w:rsidP="00B94B7F">
      <w:pPr>
        <w:pStyle w:val="Paragraphedeliste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lastRenderedPageBreak/>
        <w:t>Mécénat</w:t>
      </w:r>
    </w:p>
    <w:p w14:paraId="3DEF800D" w14:textId="77777777" w:rsidR="00705E0E" w:rsidRPr="00982FC0" w:rsidRDefault="00705E0E">
      <w:pPr>
        <w:spacing w:line="276" w:lineRule="auto"/>
        <w:ind w:firstLine="227"/>
        <w:jc w:val="both"/>
        <w:rPr>
          <w:lang w:val="fr-BE"/>
        </w:rPr>
      </w:pPr>
    </w:p>
    <w:p w14:paraId="2810364F" w14:textId="77777777" w:rsidR="00705E0E" w:rsidRPr="00982FC0" w:rsidRDefault="002D57CC">
      <w:pPr>
        <w:spacing w:line="276" w:lineRule="auto"/>
        <w:jc w:val="both"/>
        <w:rPr>
          <w:b/>
          <w:lang w:val="fr-BE"/>
        </w:rPr>
      </w:pPr>
      <w:r w:rsidRPr="00982FC0">
        <w:rPr>
          <w:lang w:val="fr-BE"/>
        </w:rPr>
        <w:t>Le Fonds n’a pas de moyens financiers mais est alimenté par du mécénat</w:t>
      </w:r>
      <w:r w:rsidR="00BF52AD">
        <w:rPr>
          <w:lang w:val="fr-BE"/>
        </w:rPr>
        <w:t xml:space="preserve"> qui doit être trouvé par le demandeur</w:t>
      </w:r>
      <w:r w:rsidR="007C7013">
        <w:rPr>
          <w:lang w:val="fr-BE"/>
        </w:rPr>
        <w:t>.</w:t>
      </w:r>
    </w:p>
    <w:p w14:paraId="11004866" w14:textId="77777777" w:rsidR="00982FC0" w:rsidRPr="00982FC0" w:rsidRDefault="00982FC0">
      <w:pPr>
        <w:spacing w:line="276" w:lineRule="auto"/>
        <w:jc w:val="both"/>
        <w:rPr>
          <w:b/>
          <w:lang w:val="fr-BE"/>
        </w:rPr>
      </w:pPr>
    </w:p>
    <w:p w14:paraId="52E62069" w14:textId="77777777" w:rsidR="00982FC0" w:rsidRDefault="00982FC0">
      <w:pPr>
        <w:spacing w:line="276" w:lineRule="auto"/>
        <w:jc w:val="both"/>
        <w:rPr>
          <w:rFonts w:cs="Arial"/>
          <w:lang w:val="fr-FR"/>
        </w:rPr>
      </w:pPr>
      <w:r w:rsidRPr="006D5EBE">
        <w:rPr>
          <w:rFonts w:cs="Arial"/>
          <w:lang w:val="fr-FR"/>
        </w:rPr>
        <w:t>Les dons d’au moins 40 euros versés en faveur du Fonds donnent lieu à une réduction d’impôt de 45% du montant effectivement versé, qui est repris sur l’attestation.</w:t>
      </w:r>
    </w:p>
    <w:p w14:paraId="61762E30" w14:textId="77777777" w:rsidR="007C7013" w:rsidRDefault="007C7013">
      <w:pPr>
        <w:spacing w:line="276" w:lineRule="auto"/>
        <w:jc w:val="both"/>
        <w:rPr>
          <w:rFonts w:cs="Arial"/>
          <w:lang w:val="fr-FR"/>
        </w:rPr>
      </w:pPr>
    </w:p>
    <w:p w14:paraId="0DD6E3AC" w14:textId="775336F8" w:rsidR="00737A2B" w:rsidRDefault="00737A2B" w:rsidP="00737A2B">
      <w:pPr>
        <w:pStyle w:val="Textebrut"/>
        <w:rPr>
          <w:rFonts w:ascii="Garamond" w:hAnsi="Garamond"/>
          <w:sz w:val="24"/>
          <w:szCs w:val="24"/>
          <w:lang w:val="fr-BE"/>
        </w:rPr>
      </w:pPr>
      <w:bookmarkStart w:id="0" w:name="_Hlk178173659"/>
      <w:r w:rsidRPr="00737A2B">
        <w:rPr>
          <w:rFonts w:ascii="Garamond" w:hAnsi="Garamond"/>
          <w:sz w:val="24"/>
          <w:szCs w:val="24"/>
          <w:lang w:val="fr-BE"/>
        </w:rPr>
        <w:t xml:space="preserve">Les frais administratifs </w:t>
      </w:r>
      <w:r w:rsidR="00050273">
        <w:rPr>
          <w:rFonts w:ascii="Garamond" w:hAnsi="Garamond"/>
          <w:sz w:val="24"/>
          <w:szCs w:val="24"/>
          <w:lang w:val="fr-BE"/>
        </w:rPr>
        <w:t xml:space="preserve">prélevés par la Fondation Roi Baudouin pour la gestion du projet </w:t>
      </w:r>
      <w:r w:rsidRPr="00737A2B">
        <w:rPr>
          <w:rFonts w:ascii="Garamond" w:hAnsi="Garamond"/>
          <w:sz w:val="24"/>
          <w:szCs w:val="24"/>
          <w:lang w:val="fr-BE"/>
        </w:rPr>
        <w:t>s’élèveront à</w:t>
      </w:r>
      <w:r w:rsidR="002737D0">
        <w:rPr>
          <w:rFonts w:ascii="Garamond" w:hAnsi="Garamond"/>
          <w:sz w:val="24"/>
          <w:szCs w:val="24"/>
          <w:lang w:val="fr-BE"/>
        </w:rPr>
        <w:t> :</w:t>
      </w:r>
      <w:r w:rsidRPr="00737A2B">
        <w:rPr>
          <w:rFonts w:ascii="Garamond" w:hAnsi="Garamond"/>
          <w:sz w:val="24"/>
          <w:szCs w:val="24"/>
          <w:lang w:val="fr-BE"/>
        </w:rPr>
        <w:t xml:space="preserve"> </w:t>
      </w:r>
    </w:p>
    <w:p w14:paraId="6E0E4BEC" w14:textId="77777777" w:rsidR="002737D0" w:rsidRDefault="002737D0" w:rsidP="00737A2B">
      <w:pPr>
        <w:pStyle w:val="Textebrut"/>
        <w:rPr>
          <w:rFonts w:ascii="Garamond" w:hAnsi="Garamond"/>
          <w:sz w:val="24"/>
          <w:szCs w:val="24"/>
          <w:lang w:val="fr-BE"/>
        </w:rPr>
      </w:pPr>
    </w:p>
    <w:p w14:paraId="0BB8AE54" w14:textId="067BAEB4" w:rsidR="002737D0" w:rsidRDefault="002737D0" w:rsidP="002737D0">
      <w:pPr>
        <w:pStyle w:val="Textebrut"/>
        <w:numPr>
          <w:ilvl w:val="0"/>
          <w:numId w:val="22"/>
        </w:numPr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>un montant unique de 250 € perçus sur les premiers dons lors de l’ouverture du compte</w:t>
      </w:r>
    </w:p>
    <w:p w14:paraId="2DAAE560" w14:textId="77777777" w:rsidR="002737D0" w:rsidRDefault="002737D0" w:rsidP="00EF4675">
      <w:pPr>
        <w:pStyle w:val="Textebrut"/>
        <w:numPr>
          <w:ilvl w:val="0"/>
          <w:numId w:val="22"/>
        </w:numPr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>annuellement, 2% sur le montant des dons cumulés au-delà de 25.000 €</w:t>
      </w:r>
    </w:p>
    <w:p w14:paraId="47047188" w14:textId="5F146D1D" w:rsidR="002737D0" w:rsidRPr="002737D0" w:rsidRDefault="002737D0" w:rsidP="002737D0">
      <w:pPr>
        <w:pStyle w:val="Textebrut"/>
        <w:ind w:left="720"/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 xml:space="preserve"> </w:t>
      </w:r>
    </w:p>
    <w:p w14:paraId="5F25A34F" w14:textId="77777777" w:rsidR="002737D0" w:rsidRDefault="002737D0" w:rsidP="002737D0">
      <w:pPr>
        <w:pStyle w:val="Textebrut"/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>A partir de 500.000 € de dons cumulés par an, ce montant sera calculé comme suit :</w:t>
      </w:r>
    </w:p>
    <w:p w14:paraId="10843DE9" w14:textId="102E66AD" w:rsidR="002737D0" w:rsidRPr="002737D0" w:rsidRDefault="002737D0" w:rsidP="002737D0">
      <w:pPr>
        <w:pStyle w:val="Textebrut"/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 xml:space="preserve"> </w:t>
      </w:r>
    </w:p>
    <w:p w14:paraId="3C47BC68" w14:textId="6B33AFF7" w:rsidR="002737D0" w:rsidRPr="002737D0" w:rsidRDefault="002737D0" w:rsidP="002737D0">
      <w:pPr>
        <w:pStyle w:val="Textebrut"/>
        <w:numPr>
          <w:ilvl w:val="0"/>
          <w:numId w:val="23"/>
        </w:numPr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>1% sur le montant des dons cumulés entre 500.000 € et 1.000.000 €</w:t>
      </w:r>
    </w:p>
    <w:p w14:paraId="10B3485B" w14:textId="05AE7FD1" w:rsidR="002737D0" w:rsidRPr="00737A2B" w:rsidRDefault="002737D0" w:rsidP="002737D0">
      <w:pPr>
        <w:pStyle w:val="Textebrut"/>
        <w:numPr>
          <w:ilvl w:val="0"/>
          <w:numId w:val="23"/>
        </w:numPr>
        <w:rPr>
          <w:rFonts w:ascii="Garamond" w:hAnsi="Garamond"/>
          <w:sz w:val="24"/>
          <w:szCs w:val="24"/>
          <w:lang w:val="fr-BE"/>
        </w:rPr>
      </w:pPr>
      <w:r w:rsidRPr="002737D0">
        <w:rPr>
          <w:rFonts w:ascii="Garamond" w:hAnsi="Garamond"/>
          <w:sz w:val="24"/>
          <w:szCs w:val="24"/>
          <w:lang w:val="fr-BE"/>
        </w:rPr>
        <w:t>0.5% sur le montant des dons cumulés au-delà de 1.000.000 €.</w:t>
      </w:r>
    </w:p>
    <w:bookmarkEnd w:id="0"/>
    <w:p w14:paraId="0F5C9470" w14:textId="77777777" w:rsidR="00705E0E" w:rsidRPr="00982FC0" w:rsidRDefault="00705E0E">
      <w:pPr>
        <w:spacing w:line="276" w:lineRule="auto"/>
        <w:ind w:firstLine="227"/>
        <w:jc w:val="both"/>
        <w:rPr>
          <w:lang w:val="fr-BE"/>
        </w:rPr>
      </w:pPr>
    </w:p>
    <w:p w14:paraId="6DB7470E" w14:textId="77777777" w:rsidR="002D57CC" w:rsidRPr="00982FC0" w:rsidRDefault="002D57CC">
      <w:pPr>
        <w:spacing w:line="276" w:lineRule="auto"/>
        <w:ind w:firstLine="227"/>
        <w:jc w:val="both"/>
        <w:rPr>
          <w:lang w:val="fr-BE"/>
        </w:rPr>
      </w:pPr>
    </w:p>
    <w:p w14:paraId="2B2DD109" w14:textId="77777777" w:rsidR="00705E0E" w:rsidRPr="00705E0E" w:rsidRDefault="00705E0E">
      <w:pPr>
        <w:pStyle w:val="Paragraphedeliste"/>
        <w:numPr>
          <w:ilvl w:val="0"/>
          <w:numId w:val="20"/>
        </w:numPr>
        <w:spacing w:line="276" w:lineRule="auto"/>
        <w:jc w:val="both"/>
        <w:rPr>
          <w:b/>
          <w:color w:val="000000"/>
          <w:sz w:val="28"/>
          <w:szCs w:val="28"/>
          <w:lang w:val="fr-BE"/>
        </w:rPr>
      </w:pPr>
      <w:r w:rsidRPr="00705E0E">
        <w:rPr>
          <w:b/>
          <w:color w:val="000000"/>
          <w:sz w:val="28"/>
          <w:szCs w:val="28"/>
          <w:lang w:val="fr-BE"/>
        </w:rPr>
        <w:t>Procédure de sélection</w:t>
      </w:r>
    </w:p>
    <w:p w14:paraId="17B8FDF2" w14:textId="77777777" w:rsidR="002D57CC" w:rsidRDefault="002D57CC" w:rsidP="00B94B7F">
      <w:pPr>
        <w:pStyle w:val="Paragraphedeliste"/>
        <w:spacing w:line="276" w:lineRule="auto"/>
        <w:ind w:left="0"/>
        <w:rPr>
          <w:lang w:val="fr-BE"/>
        </w:rPr>
      </w:pPr>
    </w:p>
    <w:p w14:paraId="2EF2DED1" w14:textId="77777777" w:rsidR="00777FF7" w:rsidRPr="00777FF7" w:rsidRDefault="00777FF7" w:rsidP="00B94B7F">
      <w:pPr>
        <w:pStyle w:val="Paragraphedeliste"/>
        <w:spacing w:line="276" w:lineRule="auto"/>
        <w:ind w:left="0"/>
        <w:rPr>
          <w:lang w:val="fr-BE"/>
        </w:rPr>
      </w:pPr>
      <w:r w:rsidRPr="00777FF7">
        <w:rPr>
          <w:lang w:val="fr-BE"/>
        </w:rPr>
        <w:t xml:space="preserve">La </w:t>
      </w:r>
      <w:r w:rsidRPr="00B94B7F">
        <w:rPr>
          <w:b/>
          <w:i/>
          <w:lang w:val="fr-BE"/>
        </w:rPr>
        <w:t>sélection</w:t>
      </w:r>
      <w:r w:rsidRPr="00777FF7">
        <w:rPr>
          <w:lang w:val="fr-BE"/>
        </w:rPr>
        <w:t xml:space="preserve"> est assurée par le Comité de gestion qui se réunit une fois par an. Si nécessaire, il fait appel à l’avis d’experts indépendants</w:t>
      </w:r>
      <w:r w:rsidR="006F3636">
        <w:rPr>
          <w:lang w:val="fr-BE"/>
        </w:rPr>
        <w:t>.</w:t>
      </w:r>
      <w:r w:rsidRPr="00777FF7">
        <w:rPr>
          <w:lang w:val="fr-BE"/>
        </w:rPr>
        <w:t xml:space="preserve"> Le Comité de gestion ne motive pas ses décisions qui sont sans appel. </w:t>
      </w:r>
    </w:p>
    <w:p w14:paraId="365AD0B7" w14:textId="77777777" w:rsidR="00777FF7" w:rsidRDefault="00777FF7" w:rsidP="00B94B7F">
      <w:pPr>
        <w:spacing w:line="276" w:lineRule="auto"/>
        <w:rPr>
          <w:lang w:val="fr-BE"/>
        </w:rPr>
      </w:pPr>
    </w:p>
    <w:p w14:paraId="5505DFAF" w14:textId="77777777" w:rsidR="00705E0E" w:rsidRDefault="00705E0E" w:rsidP="00B94B7F">
      <w:pPr>
        <w:spacing w:line="276" w:lineRule="auto"/>
        <w:rPr>
          <w:lang w:val="fr-BE"/>
        </w:rPr>
      </w:pPr>
      <w:r>
        <w:rPr>
          <w:lang w:val="fr-BE"/>
        </w:rPr>
        <w:t xml:space="preserve">Les </w:t>
      </w:r>
      <w:r w:rsidRPr="00B94B7F">
        <w:rPr>
          <w:b/>
          <w:i/>
          <w:lang w:val="fr-BE"/>
        </w:rPr>
        <w:t>critères</w:t>
      </w:r>
      <w:r>
        <w:rPr>
          <w:lang w:val="fr-BE"/>
        </w:rPr>
        <w:t xml:space="preserve"> suivants guident l’examen des dossiers:</w:t>
      </w:r>
    </w:p>
    <w:p w14:paraId="5D63294B" w14:textId="77777777" w:rsidR="00705E0E" w:rsidRPr="000C0D1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0C0D18">
        <w:rPr>
          <w:color w:val="000000"/>
          <w:lang w:val="fr-BE"/>
        </w:rPr>
        <w:t>l’importance patrimoniale</w:t>
      </w:r>
    </w:p>
    <w:p w14:paraId="40341197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lang w:val="fr-BE"/>
        </w:rPr>
        <w:t>travaux en vue d’une conservation durable du patrimoine</w:t>
      </w:r>
    </w:p>
    <w:p w14:paraId="2893A48D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l’intégration dans une perspective de développement durable</w:t>
      </w:r>
    </w:p>
    <w:p w14:paraId="431C6EC5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l’intégration des questions de patrimoine et des aspects économiques, sociaux et touristiques</w:t>
      </w:r>
    </w:p>
    <w:p w14:paraId="34D2423A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777AD6">
        <w:rPr>
          <w:color w:val="000000"/>
          <w:lang w:val="fr-BE"/>
        </w:rPr>
        <w:t xml:space="preserve">l’urgence des travaux  </w:t>
      </w:r>
    </w:p>
    <w:p w14:paraId="01436991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777AD6">
        <w:rPr>
          <w:color w:val="000000"/>
          <w:lang w:val="fr-BE"/>
        </w:rPr>
        <w:t xml:space="preserve">le niveau d’accessibilité </w:t>
      </w:r>
      <w:r w:rsidR="00D81909" w:rsidRPr="00777AD6">
        <w:rPr>
          <w:color w:val="000000"/>
          <w:lang w:val="fr-BE"/>
        </w:rPr>
        <w:t>au public</w:t>
      </w:r>
    </w:p>
    <w:p w14:paraId="12357F86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conservation des anciens métiers patrimoniaux</w:t>
      </w:r>
    </w:p>
    <w:p w14:paraId="2969F2BA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la conservation intégrée de paysages, d</w:t>
      </w:r>
      <w:r>
        <w:rPr>
          <w:color w:val="000000"/>
          <w:lang w:val="fr-BE"/>
        </w:rPr>
        <w:t>’</w:t>
      </w:r>
      <w:r w:rsidRPr="00526BF3">
        <w:rPr>
          <w:color w:val="000000"/>
          <w:lang w:val="fr-BE"/>
        </w:rPr>
        <w:t>ensembles architecturaux et de villages</w:t>
      </w:r>
    </w:p>
    <w:p w14:paraId="60918DA4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pér</w:t>
      </w:r>
      <w:r>
        <w:rPr>
          <w:color w:val="000000"/>
          <w:lang w:val="fr-BE"/>
        </w:rPr>
        <w:t>en</w:t>
      </w:r>
      <w:r w:rsidRPr="00526BF3">
        <w:rPr>
          <w:color w:val="000000"/>
          <w:lang w:val="fr-BE"/>
        </w:rPr>
        <w:t>nisation des techniques et des matériaux anciens (p.e</w:t>
      </w:r>
      <w:r>
        <w:rPr>
          <w:color w:val="000000"/>
          <w:lang w:val="fr-BE"/>
        </w:rPr>
        <w:t>x</w:t>
      </w:r>
      <w:r w:rsidRPr="00526BF3">
        <w:rPr>
          <w:color w:val="000000"/>
          <w:lang w:val="fr-BE"/>
        </w:rPr>
        <w:t>. le travail de la chaux)</w:t>
      </w:r>
    </w:p>
    <w:p w14:paraId="4AF3BA63" w14:textId="77777777" w:rsidR="00BF52AD" w:rsidRPr="00526BF3" w:rsidRDefault="00BF52AD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>
        <w:rPr>
          <w:color w:val="000000"/>
          <w:lang w:val="fr-BE"/>
        </w:rPr>
        <w:t>la capacité du demandeur à trouver le mécénat nécessaire à son projet</w:t>
      </w:r>
    </w:p>
    <w:p w14:paraId="0342360B" w14:textId="77777777" w:rsidR="00705E0E" w:rsidRDefault="00705E0E">
      <w:pPr>
        <w:spacing w:line="276" w:lineRule="auto"/>
        <w:ind w:firstLine="227"/>
        <w:jc w:val="both"/>
        <w:rPr>
          <w:b/>
          <w:color w:val="000000"/>
          <w:lang w:val="fr-BE"/>
        </w:rPr>
      </w:pPr>
    </w:p>
    <w:p w14:paraId="55744D3E" w14:textId="77777777" w:rsidR="00705E0E" w:rsidRPr="00705E0E" w:rsidRDefault="00705E0E" w:rsidP="00B94B7F">
      <w:pPr>
        <w:pStyle w:val="Paragraphedeliste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 w:rsidRPr="00705E0E">
        <w:rPr>
          <w:b/>
          <w:bCs/>
          <w:sz w:val="28"/>
          <w:szCs w:val="28"/>
          <w:lang w:val="fr-BE"/>
        </w:rPr>
        <w:lastRenderedPageBreak/>
        <w:t>Modalités de participation</w:t>
      </w:r>
    </w:p>
    <w:p w14:paraId="69C41CD6" w14:textId="77777777" w:rsidR="00705E0E" w:rsidRPr="00BB3F31" w:rsidRDefault="00705E0E" w:rsidP="00B94B7F">
      <w:pPr>
        <w:spacing w:line="276" w:lineRule="auto"/>
        <w:ind w:left="360"/>
        <w:rPr>
          <w:rFonts w:ascii="Arial" w:hAnsi="Arial"/>
          <w:lang w:val="fr-BE"/>
        </w:rPr>
      </w:pPr>
    </w:p>
    <w:p w14:paraId="23932B5D" w14:textId="0EF189C1" w:rsidR="00DF47EE" w:rsidRPr="002A72F6" w:rsidRDefault="005D2268" w:rsidP="00B94B7F">
      <w:pPr>
        <w:spacing w:line="276" w:lineRule="auto"/>
        <w:rPr>
          <w:lang w:val="fr-FR"/>
        </w:rPr>
      </w:pPr>
      <w:r>
        <w:rPr>
          <w:lang w:val="fr-FR"/>
        </w:rPr>
        <w:t xml:space="preserve">Le Fond lance un </w:t>
      </w:r>
      <w:r w:rsidRPr="00B94B7F">
        <w:rPr>
          <w:b/>
          <w:i/>
          <w:lang w:val="fr-FR"/>
        </w:rPr>
        <w:t xml:space="preserve">appel </w:t>
      </w:r>
      <w:r w:rsidR="00DF47EE" w:rsidRPr="00B94B7F">
        <w:rPr>
          <w:b/>
          <w:i/>
          <w:lang w:val="fr-FR"/>
        </w:rPr>
        <w:t>aux candidatures annuel</w:t>
      </w:r>
      <w:r w:rsidR="00DF47EE">
        <w:rPr>
          <w:lang w:val="fr-FR"/>
        </w:rPr>
        <w:t xml:space="preserve">. </w:t>
      </w:r>
      <w:r w:rsidR="006919B0">
        <w:rPr>
          <w:lang w:val="fr-FR"/>
        </w:rPr>
        <w:t xml:space="preserve">L’appel se clôture </w:t>
      </w:r>
      <w:r w:rsidR="005A5664">
        <w:rPr>
          <w:lang w:val="fr-FR"/>
        </w:rPr>
        <w:t>à l’automne</w:t>
      </w:r>
      <w:r w:rsidR="002A72F6" w:rsidRPr="006919B0">
        <w:rPr>
          <w:lang w:val="fr-FR"/>
        </w:rPr>
        <w:t>.</w:t>
      </w:r>
    </w:p>
    <w:p w14:paraId="5FF35EA8" w14:textId="77777777" w:rsidR="00DF47EE" w:rsidRDefault="00DF47EE" w:rsidP="00B94B7F">
      <w:pPr>
        <w:spacing w:line="276" w:lineRule="auto"/>
        <w:rPr>
          <w:lang w:val="fr-FR"/>
        </w:rPr>
      </w:pPr>
    </w:p>
    <w:p w14:paraId="16834500" w14:textId="325EB5D1" w:rsidR="00705E0E" w:rsidRDefault="00705E0E" w:rsidP="00B94B7F">
      <w:pPr>
        <w:spacing w:line="276" w:lineRule="auto"/>
        <w:rPr>
          <w:lang w:val="fr-FR"/>
        </w:rPr>
      </w:pPr>
      <w:r>
        <w:rPr>
          <w:lang w:val="fr-FR"/>
        </w:rPr>
        <w:t xml:space="preserve">Seuls les dossiers de candidature complétés </w:t>
      </w:r>
      <w:r w:rsidRPr="00B94B7F">
        <w:rPr>
          <w:b/>
          <w:i/>
          <w:lang w:val="fr-FR"/>
        </w:rPr>
        <w:t>en ligne</w:t>
      </w:r>
      <w:r>
        <w:rPr>
          <w:lang w:val="fr-FR"/>
        </w:rPr>
        <w:t xml:space="preserve"> seront pris en considération (</w:t>
      </w:r>
      <w:hyperlink r:id="rId11" w:history="1">
        <w:r>
          <w:rPr>
            <w:rStyle w:val="Lienhypertexte"/>
            <w:lang w:val="fr-FR"/>
          </w:rPr>
          <w:t>www.kbs-frb.be</w:t>
        </w:r>
      </w:hyperlink>
      <w:r>
        <w:rPr>
          <w:lang w:val="fr-FR"/>
        </w:rPr>
        <w:t xml:space="preserve">  – taper ‘</w:t>
      </w:r>
      <w:r w:rsidR="003778C0">
        <w:rPr>
          <w:lang w:val="fr-FR"/>
        </w:rPr>
        <w:t>patrimoine culturel immobilier’</w:t>
      </w:r>
      <w:r>
        <w:rPr>
          <w:lang w:val="fr-FR"/>
        </w:rPr>
        <w:t xml:space="preserve"> dans la fonction recherche).</w:t>
      </w:r>
      <w:r>
        <w:rPr>
          <w:iCs/>
          <w:lang w:val="fr-BE"/>
        </w:rPr>
        <w:t xml:space="preserve"> Vous trouverez également plus d’information concernant le Fond</w:t>
      </w:r>
      <w:r w:rsidR="003778C0">
        <w:rPr>
          <w:iCs/>
          <w:lang w:val="fr-BE"/>
        </w:rPr>
        <w:t>s</w:t>
      </w:r>
      <w:r>
        <w:rPr>
          <w:iCs/>
          <w:lang w:val="fr-BE"/>
        </w:rPr>
        <w:t xml:space="preserve"> sur le site </w:t>
      </w:r>
      <w:hyperlink r:id="rId12" w:history="1">
        <w:r w:rsidR="005A5664" w:rsidRPr="004E7B4D">
          <w:rPr>
            <w:rStyle w:val="Lienhypertexte"/>
            <w:iCs/>
            <w:lang w:val="fr-BE"/>
          </w:rPr>
          <w:t>www.because.eu</w:t>
        </w:r>
      </w:hyperlink>
      <w:r>
        <w:rPr>
          <w:iCs/>
          <w:lang w:val="fr-BE"/>
        </w:rPr>
        <w:t>.</w:t>
      </w:r>
    </w:p>
    <w:p w14:paraId="44FACF0A" w14:textId="77777777" w:rsidR="00705E0E" w:rsidRPr="003778C0" w:rsidRDefault="00705E0E" w:rsidP="00B94B7F">
      <w:pPr>
        <w:tabs>
          <w:tab w:val="left" w:pos="2790"/>
          <w:tab w:val="left" w:pos="3525"/>
          <w:tab w:val="right" w:pos="8853"/>
        </w:tabs>
        <w:spacing w:line="276" w:lineRule="auto"/>
        <w:rPr>
          <w:highlight w:val="yellow"/>
          <w:lang w:val="fr-FR"/>
        </w:rPr>
      </w:pPr>
    </w:p>
    <w:p w14:paraId="64E59BC1" w14:textId="77777777" w:rsidR="00705E0E" w:rsidRPr="005F2CB2" w:rsidRDefault="00705E0E" w:rsidP="00B94B7F">
      <w:pPr>
        <w:spacing w:line="276" w:lineRule="auto"/>
        <w:rPr>
          <w:iCs/>
          <w:lang w:val="fr-BE"/>
        </w:rPr>
      </w:pPr>
      <w:r w:rsidRPr="005F2CB2">
        <w:rPr>
          <w:bCs/>
          <w:lang w:val="fr-BE"/>
        </w:rPr>
        <w:t xml:space="preserve">Les </w:t>
      </w:r>
      <w:r w:rsidRPr="00B94B7F">
        <w:rPr>
          <w:b/>
          <w:bCs/>
          <w:i/>
          <w:lang w:val="fr-BE"/>
        </w:rPr>
        <w:t>annexes</w:t>
      </w:r>
      <w:r w:rsidRPr="005F2CB2">
        <w:rPr>
          <w:bCs/>
          <w:lang w:val="fr-BE"/>
        </w:rPr>
        <w:t xml:space="preserve"> suivantes seront demandées :</w:t>
      </w:r>
    </w:p>
    <w:p w14:paraId="5795353F" w14:textId="77777777" w:rsidR="00705E0E" w:rsidRPr="000C0D18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Les informations pratiques : accessibilité au public</w:t>
      </w:r>
    </w:p>
    <w:p w14:paraId="12288E93" w14:textId="77777777" w:rsidR="003778C0" w:rsidRPr="000C0D18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le bien est classé, la copie de l’arrêté de classement</w:t>
      </w:r>
    </w:p>
    <w:p w14:paraId="38F26B54" w14:textId="77777777" w:rsidR="003778C0" w:rsidRPr="000C0D18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une convention d’accessibilité avec l’une des Régions a été conclue, joindre la copie</w:t>
      </w:r>
    </w:p>
    <w:p w14:paraId="470C4BC2" w14:textId="77777777" w:rsidR="003778C0" w:rsidRPr="000C0D18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une fiche sanitaire du bien a été établie, fournir une copie</w:t>
      </w:r>
    </w:p>
    <w:p w14:paraId="3DC32DF0" w14:textId="77777777" w:rsidR="00705E0E" w:rsidRPr="000C0D18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/>
        </w:rPr>
        <w:t>Estimation détaillée des coûts (devis)</w:t>
      </w:r>
    </w:p>
    <w:p w14:paraId="03C62F93" w14:textId="77777777" w:rsidR="003778C0" w:rsidRDefault="003778C0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/>
        </w:rPr>
        <w:t>Personne de contact  et approbation des travaux auprès de l’Administration régionales des Monuments et Sites</w:t>
      </w:r>
    </w:p>
    <w:p w14:paraId="651BD6A5" w14:textId="3CB6D626" w:rsidR="00AE1F62" w:rsidRDefault="00AE1F62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>
        <w:rPr>
          <w:rFonts w:eastAsia="Times New Roman"/>
          <w:lang w:val="fr-FR"/>
        </w:rPr>
        <w:t>Si le demandeur n’est pas propriétaire, l’autorisation ou la procuration du propriétaire</w:t>
      </w:r>
    </w:p>
    <w:p w14:paraId="4D425542" w14:textId="3DA7531F" w:rsidR="006B7A6D" w:rsidRPr="000C0D18" w:rsidRDefault="006B7A6D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>
        <w:rPr>
          <w:rFonts w:eastAsia="Times New Roman"/>
          <w:lang w:val="fr-FR"/>
        </w:rPr>
        <w:t xml:space="preserve">Information sur </w:t>
      </w:r>
      <w:r w:rsidR="000502ED">
        <w:rPr>
          <w:rFonts w:eastAsia="Times New Roman"/>
          <w:lang w:val="fr-FR"/>
        </w:rPr>
        <w:t>votre campagne de</w:t>
      </w:r>
      <w:r>
        <w:rPr>
          <w:rFonts w:eastAsia="Times New Roman"/>
          <w:lang w:val="fr-FR"/>
        </w:rPr>
        <w:t xml:space="preserve"> collecte de fonds</w:t>
      </w:r>
    </w:p>
    <w:p w14:paraId="78065347" w14:textId="77777777" w:rsidR="00705E0E" w:rsidRPr="004C0CDB" w:rsidRDefault="006F3636" w:rsidP="00B94B7F">
      <w:pPr>
        <w:pStyle w:val="Paragraphedeliste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lang w:val="fr-BE"/>
        </w:rPr>
      </w:pPr>
      <w:r w:rsidRPr="000C0D18">
        <w:rPr>
          <w:rFonts w:eastAsia="Times New Roman"/>
          <w:lang w:val="fr-FR" w:eastAsia="nl-BE"/>
        </w:rPr>
        <w:t>Photos du projet</w:t>
      </w:r>
    </w:p>
    <w:p w14:paraId="25B5B4BE" w14:textId="77777777" w:rsidR="008406FA" w:rsidRPr="003A00C9" w:rsidRDefault="008406FA" w:rsidP="00B94B7F">
      <w:pPr>
        <w:spacing w:line="276" w:lineRule="auto"/>
        <w:rPr>
          <w:lang w:val="fr-BE"/>
        </w:rPr>
      </w:pPr>
    </w:p>
    <w:sectPr w:rsidR="008406FA" w:rsidRPr="003A00C9" w:rsidSect="009511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A723" w14:textId="77777777" w:rsidR="007E317B" w:rsidRDefault="007E317B" w:rsidP="002A52E7">
      <w:r>
        <w:separator/>
      </w:r>
    </w:p>
  </w:endnote>
  <w:endnote w:type="continuationSeparator" w:id="0">
    <w:p w14:paraId="2CAF2532" w14:textId="77777777" w:rsidR="007E317B" w:rsidRDefault="007E317B" w:rsidP="002A52E7">
      <w:r>
        <w:continuationSeparator/>
      </w:r>
    </w:p>
  </w:endnote>
  <w:endnote w:type="continuationNotice" w:id="1">
    <w:p w14:paraId="70D550E4" w14:textId="77777777" w:rsidR="007E317B" w:rsidRDefault="007E3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20B9" w14:textId="77777777" w:rsidR="00777FF7" w:rsidRDefault="00777F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3D0B" w14:textId="77777777" w:rsidR="00777FF7" w:rsidRPr="00A651D9" w:rsidRDefault="00777FF7" w:rsidP="00A651D9">
    <w:pPr>
      <w:pStyle w:val="Pieddepage"/>
    </w:pPr>
    <w:r>
      <w:rPr>
        <w:noProof/>
        <w:lang w:eastAsia="nl-BE"/>
      </w:rPr>
      <w:drawing>
        <wp:inline distT="0" distB="0" distL="0" distR="0" wp14:anchorId="4C0236E7" wp14:editId="0C01123D">
          <wp:extent cx="4320540" cy="71780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0CD0" w14:textId="77777777" w:rsidR="00777FF7" w:rsidRDefault="00777F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791C" w14:textId="77777777" w:rsidR="007E317B" w:rsidRDefault="007E317B" w:rsidP="002A52E7">
      <w:r>
        <w:separator/>
      </w:r>
    </w:p>
  </w:footnote>
  <w:footnote w:type="continuationSeparator" w:id="0">
    <w:p w14:paraId="6005B894" w14:textId="77777777" w:rsidR="007E317B" w:rsidRDefault="007E317B" w:rsidP="002A52E7">
      <w:r>
        <w:continuationSeparator/>
      </w:r>
    </w:p>
  </w:footnote>
  <w:footnote w:type="continuationNotice" w:id="1">
    <w:p w14:paraId="1150D70F" w14:textId="77777777" w:rsidR="007E317B" w:rsidRDefault="007E3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66F" w14:textId="77777777" w:rsidR="00777FF7" w:rsidRDefault="00777F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04E4" w14:textId="77777777" w:rsidR="00777FF7" w:rsidRDefault="00777FF7">
    <w:pPr>
      <w:pStyle w:val="En-tte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D909A" wp14:editId="2B613A3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56B3B" w14:textId="77777777" w:rsidR="00777FF7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68F6B55" w14:textId="77777777" w:rsidR="00777FF7" w:rsidRPr="00314F41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01C2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des Amis du Patrimoine Culturel Immobilier</w:t>
                          </w:r>
                        </w:p>
                        <w:p w14:paraId="57157EDC" w14:textId="77777777" w:rsidR="00777FF7" w:rsidRPr="00314F41" w:rsidRDefault="00777FF7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EB095BC" w14:textId="77777777" w:rsidR="00777FF7" w:rsidRPr="00314F41" w:rsidRDefault="00777FF7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076D4902" w14:textId="77777777" w:rsidR="00777FF7" w:rsidRPr="00314F41" w:rsidRDefault="00777FF7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06968103" w14:textId="77777777" w:rsidR="00777FF7" w:rsidRPr="00314F41" w:rsidRDefault="00777FF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D90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" filled="f" stroked="f">
              <v:textbox>
                <w:txbxContent>
                  <w:p w14:paraId="20256B3B" w14:textId="77777777" w:rsidR="00777FF7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68F6B55" w14:textId="77777777" w:rsidR="00777FF7" w:rsidRPr="00314F41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01C2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des Amis du Patrimoine Culturel Immobilier</w:t>
                    </w:r>
                  </w:p>
                  <w:p w14:paraId="57157EDC" w14:textId="77777777" w:rsidR="00777FF7" w:rsidRPr="00314F41" w:rsidRDefault="00777FF7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6EB095BC" w14:textId="77777777" w:rsidR="00777FF7" w:rsidRPr="00314F41" w:rsidRDefault="00777FF7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076D4902" w14:textId="77777777" w:rsidR="00777FF7" w:rsidRPr="00314F41" w:rsidRDefault="00777FF7" w:rsidP="00F5226E">
                    <w:pPr>
                      <w:rPr>
                        <w:lang w:val="fr-BE"/>
                      </w:rPr>
                    </w:pPr>
                  </w:p>
                  <w:p w14:paraId="06968103" w14:textId="77777777" w:rsidR="00777FF7" w:rsidRPr="00314F41" w:rsidRDefault="00777FF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9C9E" w14:textId="77777777" w:rsidR="00777FF7" w:rsidRDefault="00777F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419"/>
    <w:multiLevelType w:val="hybridMultilevel"/>
    <w:tmpl w:val="D774FF80"/>
    <w:lvl w:ilvl="0" w:tplc="FBAA2D58">
      <w:start w:val="1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057FA"/>
    <w:multiLevelType w:val="hybridMultilevel"/>
    <w:tmpl w:val="F54039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0F05"/>
    <w:multiLevelType w:val="hybridMultilevel"/>
    <w:tmpl w:val="274AB58C"/>
    <w:lvl w:ilvl="0" w:tplc="AF280DEA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83462"/>
    <w:multiLevelType w:val="singleLevel"/>
    <w:tmpl w:val="C72ECD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2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5C45"/>
    <w:multiLevelType w:val="hybridMultilevel"/>
    <w:tmpl w:val="ED3837DA"/>
    <w:lvl w:ilvl="0" w:tplc="FBAA2D5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6DB0"/>
    <w:multiLevelType w:val="hybridMultilevel"/>
    <w:tmpl w:val="3F32DCA0"/>
    <w:lvl w:ilvl="0" w:tplc="85B29096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567B7C70"/>
    <w:multiLevelType w:val="hybridMultilevel"/>
    <w:tmpl w:val="2AEE58DC"/>
    <w:lvl w:ilvl="0" w:tplc="04745158">
      <w:start w:val="1"/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4B24151"/>
    <w:multiLevelType w:val="hybridMultilevel"/>
    <w:tmpl w:val="EC6213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160146">
    <w:abstractNumId w:val="0"/>
  </w:num>
  <w:num w:numId="2" w16cid:durableId="393894792">
    <w:abstractNumId w:val="1"/>
  </w:num>
  <w:num w:numId="3" w16cid:durableId="1981182200">
    <w:abstractNumId w:val="2"/>
  </w:num>
  <w:num w:numId="4" w16cid:durableId="2047365707">
    <w:abstractNumId w:val="3"/>
  </w:num>
  <w:num w:numId="5" w16cid:durableId="77868029">
    <w:abstractNumId w:val="20"/>
  </w:num>
  <w:num w:numId="6" w16cid:durableId="549145574">
    <w:abstractNumId w:val="19"/>
  </w:num>
  <w:num w:numId="7" w16cid:durableId="408692519">
    <w:abstractNumId w:val="16"/>
  </w:num>
  <w:num w:numId="8" w16cid:durableId="1236743317">
    <w:abstractNumId w:val="11"/>
    <w:lvlOverride w:ilvl="0">
      <w:startOverride w:val="2"/>
    </w:lvlOverride>
  </w:num>
  <w:num w:numId="9" w16cid:durableId="352609341">
    <w:abstractNumId w:val="9"/>
  </w:num>
  <w:num w:numId="10" w16cid:durableId="1016004926">
    <w:abstractNumId w:val="14"/>
  </w:num>
  <w:num w:numId="11" w16cid:durableId="1641420305">
    <w:abstractNumId w:val="7"/>
  </w:num>
  <w:num w:numId="12" w16cid:durableId="391659266">
    <w:abstractNumId w:val="17"/>
  </w:num>
  <w:num w:numId="13" w16cid:durableId="722295600">
    <w:abstractNumId w:val="15"/>
  </w:num>
  <w:num w:numId="14" w16cid:durableId="20710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743712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1978552">
    <w:abstractNumId w:val="12"/>
  </w:num>
  <w:num w:numId="17" w16cid:durableId="897983359">
    <w:abstractNumId w:val="10"/>
  </w:num>
  <w:num w:numId="18" w16cid:durableId="1965578331">
    <w:abstractNumId w:val="21"/>
  </w:num>
  <w:num w:numId="19" w16cid:durableId="408769203">
    <w:abstractNumId w:val="5"/>
  </w:num>
  <w:num w:numId="20" w16cid:durableId="1635058681">
    <w:abstractNumId w:val="6"/>
  </w:num>
  <w:num w:numId="21" w16cid:durableId="2030914161">
    <w:abstractNumId w:val="13"/>
  </w:num>
  <w:num w:numId="22" w16cid:durableId="1299149733">
    <w:abstractNumId w:val="18"/>
  </w:num>
  <w:num w:numId="23" w16cid:durableId="318117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A"/>
    <w:rsid w:val="00010A9E"/>
    <w:rsid w:val="00020F01"/>
    <w:rsid w:val="00033D71"/>
    <w:rsid w:val="00050273"/>
    <w:rsid w:val="000502ED"/>
    <w:rsid w:val="00094EAA"/>
    <w:rsid w:val="000A66F1"/>
    <w:rsid w:val="000C0D18"/>
    <w:rsid w:val="000D00EC"/>
    <w:rsid w:val="000E16DE"/>
    <w:rsid w:val="00120B24"/>
    <w:rsid w:val="00122878"/>
    <w:rsid w:val="001252EA"/>
    <w:rsid w:val="00162A63"/>
    <w:rsid w:val="00171C92"/>
    <w:rsid w:val="00171CC9"/>
    <w:rsid w:val="00180FC0"/>
    <w:rsid w:val="001E7D94"/>
    <w:rsid w:val="001F652F"/>
    <w:rsid w:val="001F6E4F"/>
    <w:rsid w:val="0020642F"/>
    <w:rsid w:val="00206EC5"/>
    <w:rsid w:val="00272D40"/>
    <w:rsid w:val="002737D0"/>
    <w:rsid w:val="00293858"/>
    <w:rsid w:val="002A52E7"/>
    <w:rsid w:val="002A72F6"/>
    <w:rsid w:val="002C372A"/>
    <w:rsid w:val="002D57CC"/>
    <w:rsid w:val="00314F41"/>
    <w:rsid w:val="00323914"/>
    <w:rsid w:val="00331A16"/>
    <w:rsid w:val="00342079"/>
    <w:rsid w:val="00364A8A"/>
    <w:rsid w:val="003778C0"/>
    <w:rsid w:val="00392206"/>
    <w:rsid w:val="003A00C9"/>
    <w:rsid w:val="003A0C3D"/>
    <w:rsid w:val="003A0EE0"/>
    <w:rsid w:val="003F40EB"/>
    <w:rsid w:val="004558A5"/>
    <w:rsid w:val="004672C6"/>
    <w:rsid w:val="004A5EFD"/>
    <w:rsid w:val="004C6F38"/>
    <w:rsid w:val="004F0DE8"/>
    <w:rsid w:val="00520043"/>
    <w:rsid w:val="0059422F"/>
    <w:rsid w:val="005A2D62"/>
    <w:rsid w:val="005A5664"/>
    <w:rsid w:val="005C0F84"/>
    <w:rsid w:val="005D2268"/>
    <w:rsid w:val="00601C2A"/>
    <w:rsid w:val="00610DA4"/>
    <w:rsid w:val="00630EE6"/>
    <w:rsid w:val="0067045F"/>
    <w:rsid w:val="006902CA"/>
    <w:rsid w:val="006919B0"/>
    <w:rsid w:val="00695A7B"/>
    <w:rsid w:val="006A4C79"/>
    <w:rsid w:val="006A7091"/>
    <w:rsid w:val="006B7A6D"/>
    <w:rsid w:val="006C739E"/>
    <w:rsid w:val="006D5EBE"/>
    <w:rsid w:val="006F2D1A"/>
    <w:rsid w:val="006F3636"/>
    <w:rsid w:val="006F527F"/>
    <w:rsid w:val="00705E0E"/>
    <w:rsid w:val="00737A2B"/>
    <w:rsid w:val="00741E1B"/>
    <w:rsid w:val="00777AD6"/>
    <w:rsid w:val="00777FF7"/>
    <w:rsid w:val="0078736D"/>
    <w:rsid w:val="007B1388"/>
    <w:rsid w:val="007C7013"/>
    <w:rsid w:val="007D47E8"/>
    <w:rsid w:val="007E317B"/>
    <w:rsid w:val="007F05D1"/>
    <w:rsid w:val="008406FA"/>
    <w:rsid w:val="008455D2"/>
    <w:rsid w:val="008624E2"/>
    <w:rsid w:val="00887F42"/>
    <w:rsid w:val="008B6C03"/>
    <w:rsid w:val="008C70D0"/>
    <w:rsid w:val="008D2841"/>
    <w:rsid w:val="008F76A7"/>
    <w:rsid w:val="00917754"/>
    <w:rsid w:val="00936CB0"/>
    <w:rsid w:val="009511DD"/>
    <w:rsid w:val="00952CA2"/>
    <w:rsid w:val="00982FC0"/>
    <w:rsid w:val="009B0E73"/>
    <w:rsid w:val="009C1505"/>
    <w:rsid w:val="00A106B9"/>
    <w:rsid w:val="00A4275D"/>
    <w:rsid w:val="00A533EF"/>
    <w:rsid w:val="00A651D9"/>
    <w:rsid w:val="00A958E5"/>
    <w:rsid w:val="00AA6B71"/>
    <w:rsid w:val="00AC3007"/>
    <w:rsid w:val="00AE19A7"/>
    <w:rsid w:val="00AE1F62"/>
    <w:rsid w:val="00AF4D66"/>
    <w:rsid w:val="00B4459E"/>
    <w:rsid w:val="00B7315F"/>
    <w:rsid w:val="00B94B7F"/>
    <w:rsid w:val="00BA12E1"/>
    <w:rsid w:val="00BA7F7E"/>
    <w:rsid w:val="00BB5960"/>
    <w:rsid w:val="00BF4726"/>
    <w:rsid w:val="00BF52AD"/>
    <w:rsid w:val="00C05524"/>
    <w:rsid w:val="00C072BC"/>
    <w:rsid w:val="00C101A8"/>
    <w:rsid w:val="00CD49E4"/>
    <w:rsid w:val="00CE1BC5"/>
    <w:rsid w:val="00D17D80"/>
    <w:rsid w:val="00D3015C"/>
    <w:rsid w:val="00D81909"/>
    <w:rsid w:val="00D937EA"/>
    <w:rsid w:val="00DA088E"/>
    <w:rsid w:val="00DC7FF5"/>
    <w:rsid w:val="00DF33CA"/>
    <w:rsid w:val="00DF47EE"/>
    <w:rsid w:val="00E24DBC"/>
    <w:rsid w:val="00E65BD8"/>
    <w:rsid w:val="00E86AAE"/>
    <w:rsid w:val="00E941E5"/>
    <w:rsid w:val="00E97810"/>
    <w:rsid w:val="00ED1A83"/>
    <w:rsid w:val="00ED3A4B"/>
    <w:rsid w:val="00ED5CE8"/>
    <w:rsid w:val="00EE611A"/>
    <w:rsid w:val="00EE7BB6"/>
    <w:rsid w:val="00F5226E"/>
    <w:rsid w:val="00F529F0"/>
    <w:rsid w:val="00F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E1FDD7D"/>
  <w15:docId w15:val="{51E56504-7F46-4639-BE3B-7B6B82F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E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52E7"/>
  </w:style>
  <w:style w:type="paragraph" w:styleId="Pieddepage">
    <w:name w:val="footer"/>
    <w:basedOn w:val="Normal"/>
    <w:link w:val="Pieddepag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D17D80"/>
  </w:style>
  <w:style w:type="paragraph" w:styleId="Paragraphedeliste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50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7F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F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FF7"/>
    <w:rPr>
      <w:rFonts w:ascii="Garamond" w:eastAsia="Arial Unicode MS" w:hAnsi="Garamond" w:cs="Times New Roman"/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FF7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Textebrut">
    <w:name w:val="Plain Text"/>
    <w:basedOn w:val="Normal"/>
    <w:link w:val="TextebrutCar"/>
    <w:uiPriority w:val="99"/>
    <w:unhideWhenUsed/>
    <w:rsid w:val="007C7013"/>
    <w:pPr>
      <w:tabs>
        <w:tab w:val="clear" w:pos="2835"/>
        <w:tab w:val="clear" w:pos="6804"/>
      </w:tabs>
    </w:pPr>
    <w:rPr>
      <w:rFonts w:ascii="Verdana" w:eastAsiaTheme="minorHAnsi" w:hAnsi="Verdana" w:cstheme="minorBidi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C7013"/>
    <w:rPr>
      <w:rFonts w:ascii="Verdana" w:eastAsiaTheme="minorHAnsi" w:hAnsi="Verdana"/>
      <w:sz w:val="20"/>
      <w:szCs w:val="21"/>
      <w:lang w:val="nl-BE"/>
    </w:rPr>
  </w:style>
  <w:style w:type="character" w:styleId="Lienhypertextesuivivisit">
    <w:name w:val="FollowedHyperlink"/>
    <w:basedOn w:val="Policepardfaut"/>
    <w:uiPriority w:val="99"/>
    <w:semiHidden/>
    <w:unhideWhenUsed/>
    <w:rsid w:val="005A566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caus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eed6806e8352eb66789d04b847ad9f0a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091985c15c2b69114bd66c01c68e18a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48DF2-6116-4FC2-A327-53B4B2F1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9FB54-E0D0-4C04-A476-DB517B02D98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be4dbe71-6922-45fc-af02-09d43ad62cad"/>
    <ds:schemaRef ds:uri="http://schemas.microsoft.com/office/infopath/2007/PartnerControls"/>
    <ds:schemaRef ds:uri="http://purl.org/dc/elements/1.1/"/>
    <ds:schemaRef ds:uri="a1a8f9cf-fb1a-4781-9056-06c455a50c0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70DC80-FEF7-499F-AC14-6A683820F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968F1-031B-442A-A45D-7E539491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920790_PatCultImmo_FR_GD</Template>
  <TotalTime>0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KBS-FRB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Isabelle</dc:creator>
  <cp:lastModifiedBy>De Hemptinne Gerald</cp:lastModifiedBy>
  <cp:revision>2</cp:revision>
  <cp:lastPrinted>2016-04-11T09:42:00Z</cp:lastPrinted>
  <dcterms:created xsi:type="dcterms:W3CDTF">2024-09-26T13:46:00Z</dcterms:created>
  <dcterms:modified xsi:type="dcterms:W3CDTF">2024-09-26T13:46:00Z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147600</vt:r8>
  </property>
</Properties>
</file>