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A92A" w14:textId="77777777" w:rsidR="000C04F5" w:rsidRPr="000151F9" w:rsidRDefault="000C04F5" w:rsidP="000C04F5">
      <w:pPr>
        <w:jc w:val="center"/>
        <w:rPr>
          <w:b/>
          <w:bCs/>
          <w:sz w:val="36"/>
          <w:szCs w:val="36"/>
          <w:lang w:val="fr-BE"/>
        </w:rPr>
      </w:pPr>
      <w:r w:rsidRPr="000151F9">
        <w:rPr>
          <w:b/>
          <w:bCs/>
          <w:sz w:val="36"/>
          <w:szCs w:val="36"/>
          <w:lang w:val="fr-BE"/>
        </w:rPr>
        <w:t>Fonds Léon et Marcelle Courtin-Bouché</w:t>
      </w:r>
    </w:p>
    <w:p w14:paraId="7C63927C" w14:textId="77777777" w:rsidR="000C04F5" w:rsidRPr="000151F9" w:rsidRDefault="000C04F5" w:rsidP="000C04F5">
      <w:pPr>
        <w:jc w:val="center"/>
        <w:rPr>
          <w:b/>
          <w:bCs/>
          <w:sz w:val="36"/>
          <w:szCs w:val="36"/>
          <w:lang w:val="fr-BE"/>
        </w:rPr>
      </w:pPr>
    </w:p>
    <w:p w14:paraId="12F7A446" w14:textId="77777777" w:rsidR="000C04F5" w:rsidRPr="000151F9" w:rsidRDefault="000C04F5" w:rsidP="000C04F5">
      <w:pPr>
        <w:jc w:val="center"/>
        <w:rPr>
          <w:b/>
          <w:bCs/>
          <w:sz w:val="36"/>
          <w:szCs w:val="36"/>
          <w:lang w:val="fr-BE"/>
        </w:rPr>
      </w:pPr>
      <w:r w:rsidRPr="000151F9">
        <w:rPr>
          <w:b/>
          <w:bCs/>
          <w:sz w:val="36"/>
          <w:szCs w:val="36"/>
          <w:lang w:val="fr-BE"/>
        </w:rPr>
        <w:t>Note aux candidats</w:t>
      </w:r>
    </w:p>
    <w:p w14:paraId="4165C368" w14:textId="77777777" w:rsidR="000C04F5" w:rsidRDefault="000C04F5" w:rsidP="000C04F5">
      <w:pPr>
        <w:rPr>
          <w:b/>
          <w:bCs/>
          <w:sz w:val="28"/>
          <w:szCs w:val="28"/>
          <w:lang w:val="fr-BE"/>
        </w:rPr>
      </w:pPr>
    </w:p>
    <w:p w14:paraId="78064C89" w14:textId="77777777" w:rsidR="000C04F5" w:rsidRDefault="000C04F5" w:rsidP="000C04F5">
      <w:pPr>
        <w:jc w:val="center"/>
        <w:rPr>
          <w:b/>
          <w:bCs/>
          <w:sz w:val="28"/>
          <w:szCs w:val="28"/>
          <w:lang w:val="fr-BE"/>
        </w:rPr>
      </w:pPr>
      <w:r>
        <w:rPr>
          <w:b/>
          <w:bCs/>
          <w:sz w:val="28"/>
          <w:szCs w:val="28"/>
          <w:lang w:val="fr-BE"/>
        </w:rPr>
        <w:t>____________________________________</w:t>
      </w:r>
    </w:p>
    <w:p w14:paraId="24B32938" w14:textId="77777777" w:rsidR="000C04F5" w:rsidRDefault="000C04F5" w:rsidP="000C04F5">
      <w:pPr>
        <w:rPr>
          <w:b/>
          <w:bCs/>
          <w:sz w:val="28"/>
          <w:szCs w:val="28"/>
          <w:lang w:val="fr-BE"/>
        </w:rPr>
      </w:pPr>
    </w:p>
    <w:p w14:paraId="31A042DF" w14:textId="77777777" w:rsidR="003C144C" w:rsidRDefault="003C144C" w:rsidP="000C04F5">
      <w:pPr>
        <w:rPr>
          <w:b/>
          <w:bCs/>
          <w:sz w:val="28"/>
          <w:szCs w:val="28"/>
          <w:lang w:val="fr-BE"/>
        </w:rPr>
      </w:pPr>
    </w:p>
    <w:p w14:paraId="08411028" w14:textId="77777777" w:rsidR="000C04F5" w:rsidRPr="008D3107" w:rsidRDefault="000C04F5" w:rsidP="000C04F5">
      <w:pPr>
        <w:numPr>
          <w:ilvl w:val="0"/>
          <w:numId w:val="11"/>
        </w:numPr>
        <w:rPr>
          <w:b/>
          <w:bCs/>
          <w:sz w:val="28"/>
          <w:szCs w:val="28"/>
          <w:u w:val="single"/>
          <w:lang w:val="fr-BE"/>
        </w:rPr>
      </w:pPr>
      <w:r w:rsidRPr="008D3107">
        <w:rPr>
          <w:b/>
          <w:bCs/>
          <w:sz w:val="28"/>
          <w:szCs w:val="28"/>
          <w:u w:val="single"/>
          <w:lang w:val="fr-BE"/>
        </w:rPr>
        <w:t>But du Fonds</w:t>
      </w:r>
    </w:p>
    <w:p w14:paraId="43157498" w14:textId="77777777" w:rsidR="000C04F5" w:rsidRDefault="000C04F5" w:rsidP="000C04F5">
      <w:pPr>
        <w:ind w:left="1080"/>
        <w:rPr>
          <w:b/>
          <w:bCs/>
          <w:lang w:val="fr-BE"/>
        </w:rPr>
      </w:pPr>
    </w:p>
    <w:p w14:paraId="64744158" w14:textId="536EE6EF" w:rsidR="000C04F5" w:rsidRPr="005917FC" w:rsidRDefault="000C04F5" w:rsidP="000151F9">
      <w:pPr>
        <w:widowControl w:val="0"/>
        <w:tabs>
          <w:tab w:val="left" w:pos="9356"/>
        </w:tabs>
        <w:ind w:right="-1"/>
        <w:jc w:val="both"/>
        <w:rPr>
          <w:lang w:val="fr-BE"/>
        </w:rPr>
      </w:pPr>
      <w:r w:rsidRPr="000C04F5">
        <w:rPr>
          <w:lang w:val="fr-BE"/>
        </w:rPr>
        <w:t xml:space="preserve">Le </w:t>
      </w:r>
      <w:r w:rsidRPr="000C04F5">
        <w:rPr>
          <w:b/>
          <w:i/>
          <w:lang w:val="fr-BE"/>
        </w:rPr>
        <w:t>Fonds Léon et Marcelle Courtin-Bouché</w:t>
      </w:r>
      <w:r w:rsidRPr="000C04F5">
        <w:rPr>
          <w:lang w:val="fr-BE"/>
        </w:rPr>
        <w:t xml:space="preserve"> a été créé au sein de la Fondation Roi Baudouin en 2006. </w:t>
      </w:r>
      <w:r>
        <w:rPr>
          <w:lang w:val="fr-BE"/>
        </w:rPr>
        <w:t xml:space="preserve">Le Fonds a pour objectif la sauvegarde du patrimoine culturel mobilier. En particulier le Fonds soutient </w:t>
      </w:r>
      <w:r w:rsidR="00332D55" w:rsidRPr="005917FC">
        <w:rPr>
          <w:b/>
          <w:lang w:val="fr-BE"/>
        </w:rPr>
        <w:t>l’ac</w:t>
      </w:r>
      <w:r w:rsidR="00332D55">
        <w:rPr>
          <w:b/>
          <w:lang w:val="fr-BE"/>
        </w:rPr>
        <w:t>quisition</w:t>
      </w:r>
      <w:r w:rsidRPr="005917FC">
        <w:rPr>
          <w:b/>
          <w:lang w:val="fr-BE"/>
        </w:rPr>
        <w:t>, la promotion, la conservation, la restauration et la mise en valeur au sens large d’œuvres d’art émanant exclusivement d’artistes belges de toutes les époques</w:t>
      </w:r>
      <w:r w:rsidRPr="00D23968">
        <w:rPr>
          <w:b/>
          <w:lang w:val="fr-BE"/>
        </w:rPr>
        <w:t>, à l’exception d’artistes contemporains.</w:t>
      </w:r>
    </w:p>
    <w:p w14:paraId="5AFBA947" w14:textId="77777777" w:rsidR="000C04F5" w:rsidRDefault="000C04F5" w:rsidP="000C04F5">
      <w:pPr>
        <w:rPr>
          <w:lang w:val="fr-BE"/>
        </w:rPr>
      </w:pPr>
    </w:p>
    <w:p w14:paraId="039A009B" w14:textId="77777777" w:rsidR="000C04F5" w:rsidRDefault="000C04F5" w:rsidP="000C04F5">
      <w:pPr>
        <w:rPr>
          <w:lang w:val="fr-BE"/>
        </w:rPr>
      </w:pPr>
      <w:r>
        <w:rPr>
          <w:lang w:val="fr-BE"/>
        </w:rPr>
        <w:t xml:space="preserve">Il peut s’agir notamment </w:t>
      </w:r>
    </w:p>
    <w:p w14:paraId="4615FECB" w14:textId="77777777" w:rsidR="000C04F5" w:rsidRPr="0091575E" w:rsidRDefault="000C04F5" w:rsidP="000C04F5">
      <w:pPr>
        <w:rPr>
          <w:lang w:val="fr-BE"/>
        </w:rPr>
      </w:pPr>
    </w:p>
    <w:p w14:paraId="54DC8C55" w14:textId="77777777" w:rsidR="000C04F5" w:rsidRDefault="000C04F5" w:rsidP="000C04F5">
      <w:pPr>
        <w:numPr>
          <w:ilvl w:val="1"/>
          <w:numId w:val="8"/>
        </w:numPr>
        <w:tabs>
          <w:tab w:val="clear" w:pos="1440"/>
          <w:tab w:val="left" w:pos="900"/>
        </w:tabs>
        <w:ind w:left="900" w:hanging="267"/>
        <w:rPr>
          <w:lang w:val="fr-BE"/>
        </w:rPr>
      </w:pPr>
      <w:r w:rsidRPr="00C52AE3">
        <w:rPr>
          <w:b/>
          <w:lang w:val="fr-BE"/>
        </w:rPr>
        <w:t>d’acquisition</w:t>
      </w:r>
      <w:r>
        <w:rPr>
          <w:lang w:val="fr-BE"/>
        </w:rPr>
        <w:t xml:space="preserve"> œuvres produites par des artistes belges ayant une place significative dans la production de l’artiste ou des collections publiques ; </w:t>
      </w:r>
    </w:p>
    <w:p w14:paraId="2C0089DF" w14:textId="77777777" w:rsidR="000C04F5" w:rsidRDefault="000C04F5" w:rsidP="000C04F5">
      <w:pPr>
        <w:numPr>
          <w:ilvl w:val="1"/>
          <w:numId w:val="8"/>
        </w:numPr>
        <w:tabs>
          <w:tab w:val="clear" w:pos="1440"/>
          <w:tab w:val="num" w:pos="900"/>
        </w:tabs>
        <w:ind w:left="900" w:hanging="267"/>
        <w:rPr>
          <w:lang w:val="fr-BE"/>
        </w:rPr>
      </w:pPr>
      <w:r>
        <w:rPr>
          <w:lang w:val="fr-BE"/>
        </w:rPr>
        <w:t xml:space="preserve">de </w:t>
      </w:r>
      <w:r w:rsidRPr="00C52AE3">
        <w:rPr>
          <w:b/>
          <w:lang w:val="fr-BE"/>
        </w:rPr>
        <w:t>restauration ou de conservation</w:t>
      </w:r>
      <w:r>
        <w:rPr>
          <w:lang w:val="fr-BE"/>
        </w:rPr>
        <w:t xml:space="preserve"> de patrimoine mobilier belge en fonction de l’urgence de l’intervention. L’état de l’œuvre doit nécessiter un traitement ;</w:t>
      </w:r>
    </w:p>
    <w:p w14:paraId="2BB6068E" w14:textId="77777777" w:rsidR="000C04F5" w:rsidRDefault="000C04F5" w:rsidP="000C04F5">
      <w:pPr>
        <w:numPr>
          <w:ilvl w:val="1"/>
          <w:numId w:val="8"/>
        </w:numPr>
        <w:tabs>
          <w:tab w:val="clear" w:pos="1440"/>
          <w:tab w:val="num" w:pos="900"/>
        </w:tabs>
        <w:ind w:left="900" w:hanging="267"/>
        <w:rPr>
          <w:lang w:val="fr-BE"/>
        </w:rPr>
      </w:pPr>
      <w:r w:rsidRPr="00C52AE3">
        <w:rPr>
          <w:b/>
          <w:lang w:val="fr-BE"/>
        </w:rPr>
        <w:t>d’étude</w:t>
      </w:r>
      <w:r>
        <w:rPr>
          <w:lang w:val="fr-BE"/>
        </w:rPr>
        <w:t xml:space="preserve"> en vue de la mise en valeur du patrimoine mobilier belge : celle-ci doit pouvoir servir de tremplin pour d’autres projets ;</w:t>
      </w:r>
    </w:p>
    <w:p w14:paraId="01264790" w14:textId="77777777" w:rsidR="000C04F5" w:rsidRDefault="000C04F5" w:rsidP="000C04F5">
      <w:pPr>
        <w:numPr>
          <w:ilvl w:val="1"/>
          <w:numId w:val="8"/>
        </w:numPr>
        <w:tabs>
          <w:tab w:val="clear" w:pos="1440"/>
          <w:tab w:val="num" w:pos="900"/>
        </w:tabs>
        <w:ind w:left="900" w:hanging="267"/>
        <w:rPr>
          <w:lang w:val="fr-BE"/>
        </w:rPr>
      </w:pPr>
      <w:r>
        <w:rPr>
          <w:lang w:val="fr-BE"/>
        </w:rPr>
        <w:t xml:space="preserve">de </w:t>
      </w:r>
      <w:r w:rsidRPr="00C52AE3">
        <w:rPr>
          <w:b/>
          <w:lang w:val="fr-BE"/>
        </w:rPr>
        <w:t>publication</w:t>
      </w:r>
      <w:r>
        <w:rPr>
          <w:lang w:val="fr-BE"/>
        </w:rPr>
        <w:t xml:space="preserve"> significative mettant en valeur le patrimoine produit en Belgique;</w:t>
      </w:r>
    </w:p>
    <w:p w14:paraId="349407DA" w14:textId="0728979C" w:rsidR="000C04F5" w:rsidRDefault="000C04F5" w:rsidP="000C04F5">
      <w:pPr>
        <w:numPr>
          <w:ilvl w:val="1"/>
          <w:numId w:val="8"/>
        </w:numPr>
        <w:tabs>
          <w:tab w:val="clear" w:pos="1440"/>
          <w:tab w:val="num" w:pos="900"/>
        </w:tabs>
        <w:ind w:left="900" w:hanging="267"/>
        <w:rPr>
          <w:lang w:val="fr-BE"/>
        </w:rPr>
      </w:pPr>
      <w:r>
        <w:rPr>
          <w:lang w:val="fr-BE"/>
        </w:rPr>
        <w:t xml:space="preserve">toute action ayant pour but </w:t>
      </w:r>
      <w:r w:rsidRPr="00C52AE3">
        <w:rPr>
          <w:b/>
          <w:lang w:val="fr-BE"/>
        </w:rPr>
        <w:t>l’amélioration de la mise en valeur et l’accessibilité physique</w:t>
      </w:r>
      <w:r>
        <w:rPr>
          <w:lang w:val="fr-BE"/>
        </w:rPr>
        <w:t xml:space="preserve"> du patrimoine dans les institutions belges. Le Fonds souhaite recevoir des projets très concrets dans ce domaine. </w:t>
      </w:r>
    </w:p>
    <w:p w14:paraId="2DFDF3F0" w14:textId="77777777" w:rsidR="000C04F5" w:rsidRDefault="000C04F5" w:rsidP="000C04F5">
      <w:pPr>
        <w:tabs>
          <w:tab w:val="left" w:pos="567"/>
        </w:tabs>
        <w:rPr>
          <w:lang w:val="fr-BE"/>
        </w:rPr>
      </w:pPr>
    </w:p>
    <w:p w14:paraId="028416F2" w14:textId="022218AD" w:rsidR="000C04F5" w:rsidRDefault="000C04F5" w:rsidP="000C04F5">
      <w:pPr>
        <w:rPr>
          <w:lang w:val="fr-BE"/>
        </w:rPr>
      </w:pPr>
      <w:r>
        <w:rPr>
          <w:lang w:val="fr-BE"/>
        </w:rPr>
        <w:t xml:space="preserve">Le Fonds considère le patrimoine mobilier dans le sens large du terme (peinture, sculpture, tapisserie, œuvres sur papier, …). L’intervention du Fonds ne peut servir au financement de frais de personnel structurel (gardiennage, guidance, animation, etc.). Un dossier qui tient compte de l’actualité est un plus. </w:t>
      </w:r>
    </w:p>
    <w:p w14:paraId="2070E818" w14:textId="77777777" w:rsidR="000C04F5" w:rsidRDefault="000C04F5" w:rsidP="000C04F5">
      <w:pPr>
        <w:rPr>
          <w:lang w:val="fr-BE"/>
        </w:rPr>
      </w:pPr>
    </w:p>
    <w:p w14:paraId="268495F6" w14:textId="77777777" w:rsidR="000C04F5" w:rsidRDefault="000C04F5" w:rsidP="000C04F5">
      <w:pPr>
        <w:rPr>
          <w:lang w:val="fr-BE"/>
        </w:rPr>
      </w:pPr>
      <w:r>
        <w:rPr>
          <w:lang w:val="fr-BE"/>
        </w:rPr>
        <w:t xml:space="preserve">Les œuvres bénéficiant de l’aide du Fonds pour une acquisition ou un traitement devront </w:t>
      </w:r>
      <w:r w:rsidRPr="003A0921">
        <w:rPr>
          <w:b/>
          <w:lang w:val="fr-BE"/>
        </w:rPr>
        <w:t xml:space="preserve">être </w:t>
      </w:r>
      <w:r w:rsidRPr="00B40145">
        <w:rPr>
          <w:b/>
          <w:lang w:val="fr-BE"/>
        </w:rPr>
        <w:t>accessibles au public</w:t>
      </w:r>
      <w:r>
        <w:rPr>
          <w:lang w:val="fr-BE"/>
        </w:rPr>
        <w:t xml:space="preserve"> et faire l’objet, d’une </w:t>
      </w:r>
      <w:r w:rsidRPr="003A0921">
        <w:rPr>
          <w:b/>
          <w:lang w:val="fr-BE"/>
        </w:rPr>
        <w:t>mise en valeur particulière</w:t>
      </w:r>
      <w:r>
        <w:rPr>
          <w:lang w:val="fr-BE"/>
        </w:rPr>
        <w:t xml:space="preserve"> à charge du demandeur. </w:t>
      </w:r>
      <w:r w:rsidRPr="000C04F5">
        <w:rPr>
          <w:lang w:val="fr-BE"/>
        </w:rPr>
        <w:t xml:space="preserve">Les </w:t>
      </w:r>
      <w:r w:rsidR="00B13A7D" w:rsidRPr="000C04F5">
        <w:rPr>
          <w:lang w:val="fr-BE"/>
        </w:rPr>
        <w:t>œuvres</w:t>
      </w:r>
      <w:r w:rsidRPr="000C04F5">
        <w:rPr>
          <w:lang w:val="fr-BE"/>
        </w:rPr>
        <w:t xml:space="preserve"> et documents acquis seront </w:t>
      </w:r>
      <w:r w:rsidRPr="000C04F5">
        <w:rPr>
          <w:b/>
          <w:lang w:val="fr-BE"/>
        </w:rPr>
        <w:t>mis en dépôt</w:t>
      </w:r>
      <w:r w:rsidRPr="000C04F5">
        <w:rPr>
          <w:lang w:val="fr-BE"/>
        </w:rPr>
        <w:t xml:space="preserve"> dans des institutions disposant d’un conservateur à plein temps rémunéré. </w:t>
      </w:r>
      <w:r>
        <w:rPr>
          <w:lang w:val="fr-BE"/>
        </w:rPr>
        <w:t xml:space="preserve">Le Fonds restera </w:t>
      </w:r>
      <w:r w:rsidRPr="000C04F5">
        <w:rPr>
          <w:lang w:val="fr-BE"/>
        </w:rPr>
        <w:t>propriétaire des œuvres mais n’interviendra pas dans la gestion quotidienne.</w:t>
      </w:r>
    </w:p>
    <w:p w14:paraId="04453854" w14:textId="77777777" w:rsidR="003A50C3" w:rsidRDefault="003A50C3" w:rsidP="000C04F5">
      <w:pPr>
        <w:rPr>
          <w:lang w:val="fr-BE"/>
        </w:rPr>
      </w:pPr>
    </w:p>
    <w:p w14:paraId="6F3192BB" w14:textId="77777777" w:rsidR="003A50C3" w:rsidRDefault="003A50C3" w:rsidP="000C04F5">
      <w:pPr>
        <w:rPr>
          <w:lang w:val="fr-BE"/>
        </w:rPr>
      </w:pPr>
    </w:p>
    <w:p w14:paraId="59211318" w14:textId="77777777" w:rsidR="00F432C1" w:rsidRDefault="00F432C1" w:rsidP="000C04F5">
      <w:pPr>
        <w:rPr>
          <w:lang w:val="fr-BE"/>
        </w:rPr>
      </w:pPr>
    </w:p>
    <w:p w14:paraId="72ECE14B" w14:textId="77777777" w:rsidR="00F432C1" w:rsidRPr="000C04F5" w:rsidRDefault="00F432C1" w:rsidP="000C04F5">
      <w:pPr>
        <w:rPr>
          <w:lang w:val="fr-BE"/>
        </w:rPr>
      </w:pPr>
    </w:p>
    <w:p w14:paraId="4779B7CD" w14:textId="5EEEE2E1" w:rsidR="000C04F5" w:rsidRPr="00657B52" w:rsidRDefault="00657B52" w:rsidP="000C04F5">
      <w:pPr>
        <w:numPr>
          <w:ilvl w:val="0"/>
          <w:numId w:val="11"/>
        </w:numPr>
        <w:rPr>
          <w:b/>
          <w:bCs/>
          <w:sz w:val="28"/>
          <w:szCs w:val="28"/>
          <w:u w:val="single"/>
          <w:lang w:val="fr-BE"/>
        </w:rPr>
      </w:pPr>
      <w:r>
        <w:rPr>
          <w:b/>
          <w:bCs/>
          <w:sz w:val="28"/>
          <w:szCs w:val="28"/>
          <w:u w:val="single"/>
          <w:lang w:val="fr-BE"/>
        </w:rPr>
        <w:lastRenderedPageBreak/>
        <w:t>Budget</w:t>
      </w:r>
    </w:p>
    <w:p w14:paraId="238D02DC" w14:textId="77777777" w:rsidR="000C04F5" w:rsidRDefault="000C04F5" w:rsidP="000C04F5">
      <w:pPr>
        <w:rPr>
          <w:lang w:val="fr-BE"/>
        </w:rPr>
      </w:pPr>
    </w:p>
    <w:p w14:paraId="73B389BC" w14:textId="77777777" w:rsidR="000C04F5" w:rsidRDefault="000C04F5" w:rsidP="000C04F5">
      <w:pPr>
        <w:rPr>
          <w:lang w:val="fr-BE"/>
        </w:rPr>
      </w:pPr>
      <w:r>
        <w:rPr>
          <w:lang w:val="fr-BE"/>
        </w:rPr>
        <w:t xml:space="preserve">Le </w:t>
      </w:r>
      <w:r w:rsidRPr="003A0921">
        <w:rPr>
          <w:b/>
          <w:lang w:val="fr-BE"/>
        </w:rPr>
        <w:t>budget annuel</w:t>
      </w:r>
      <w:r>
        <w:rPr>
          <w:lang w:val="fr-BE"/>
        </w:rPr>
        <w:t xml:space="preserve"> du Fonds Léon et Marcelle Courtin-Bouché est de </w:t>
      </w:r>
      <w:r>
        <w:rPr>
          <w:b/>
          <w:lang w:val="fr-BE"/>
        </w:rPr>
        <w:t>150</w:t>
      </w:r>
      <w:r w:rsidRPr="003A0921">
        <w:rPr>
          <w:b/>
          <w:lang w:val="fr-BE"/>
        </w:rPr>
        <w:t>.000 €.</w:t>
      </w:r>
      <w:r>
        <w:rPr>
          <w:lang w:val="fr-BE"/>
        </w:rPr>
        <w:t xml:space="preserve"> Cette somme pourra être consacrée à un ou plusieurs projets. </w:t>
      </w:r>
    </w:p>
    <w:p w14:paraId="49B7ED01" w14:textId="77777777" w:rsidR="000C04F5" w:rsidRDefault="000C04F5" w:rsidP="000C04F5">
      <w:pPr>
        <w:rPr>
          <w:lang w:val="fr-BE"/>
        </w:rPr>
      </w:pPr>
    </w:p>
    <w:p w14:paraId="300C1502" w14:textId="77777777" w:rsidR="000C04F5" w:rsidRDefault="000C04F5" w:rsidP="000C04F5">
      <w:pPr>
        <w:rPr>
          <w:lang w:val="fr-BE"/>
        </w:rPr>
      </w:pPr>
    </w:p>
    <w:p w14:paraId="5A8EB8CE" w14:textId="77777777" w:rsidR="000C04F5" w:rsidRDefault="000C04F5" w:rsidP="000C04F5">
      <w:pPr>
        <w:rPr>
          <w:lang w:val="fr-BE"/>
        </w:rPr>
      </w:pPr>
    </w:p>
    <w:p w14:paraId="305490D3" w14:textId="77777777" w:rsidR="000C04F5" w:rsidRPr="006D5DC1" w:rsidRDefault="000C04F5" w:rsidP="000C04F5">
      <w:pPr>
        <w:numPr>
          <w:ilvl w:val="0"/>
          <w:numId w:val="11"/>
        </w:numPr>
        <w:rPr>
          <w:b/>
          <w:bCs/>
          <w:sz w:val="28"/>
          <w:szCs w:val="28"/>
          <w:u w:val="single"/>
          <w:lang w:val="fr-BE"/>
        </w:rPr>
      </w:pPr>
      <w:r w:rsidRPr="006D5DC1">
        <w:rPr>
          <w:b/>
          <w:bCs/>
          <w:sz w:val="28"/>
          <w:szCs w:val="28"/>
          <w:u w:val="single"/>
          <w:lang w:val="fr-BE"/>
        </w:rPr>
        <w:t>Procédure de sélection</w:t>
      </w:r>
    </w:p>
    <w:p w14:paraId="65A9B17C" w14:textId="77777777" w:rsidR="000C04F5" w:rsidRDefault="000C04F5" w:rsidP="000C04F5">
      <w:pPr>
        <w:rPr>
          <w:lang w:val="fr-BE"/>
        </w:rPr>
      </w:pPr>
    </w:p>
    <w:p w14:paraId="3A0AD763" w14:textId="77777777" w:rsidR="000C04F5" w:rsidRDefault="000C04F5" w:rsidP="000C04F5">
      <w:pPr>
        <w:rPr>
          <w:lang w:val="fr-BE"/>
        </w:rPr>
      </w:pPr>
      <w:r>
        <w:rPr>
          <w:lang w:val="fr-BE"/>
        </w:rPr>
        <w:t xml:space="preserve">Les dossiers de candidatures peuvent être </w:t>
      </w:r>
      <w:r w:rsidRPr="00062CE3">
        <w:rPr>
          <w:b/>
          <w:lang w:val="fr-BE"/>
        </w:rPr>
        <w:t>introduits</w:t>
      </w:r>
      <w:r>
        <w:rPr>
          <w:lang w:val="fr-BE"/>
        </w:rPr>
        <w:t xml:space="preserve"> à tout moment. </w:t>
      </w:r>
    </w:p>
    <w:p w14:paraId="4CF5B5AC" w14:textId="77777777" w:rsidR="000C04F5" w:rsidRDefault="000C04F5" w:rsidP="000C04F5">
      <w:pPr>
        <w:rPr>
          <w:lang w:val="fr-BE"/>
        </w:rPr>
      </w:pPr>
    </w:p>
    <w:p w14:paraId="094776FB" w14:textId="77777777" w:rsidR="000C04F5" w:rsidRDefault="000C04F5" w:rsidP="000C04F5">
      <w:pPr>
        <w:rPr>
          <w:lang w:val="fr-BE"/>
        </w:rPr>
      </w:pPr>
      <w:r>
        <w:rPr>
          <w:lang w:val="fr-BE"/>
        </w:rPr>
        <w:t xml:space="preserve">Les dossiers sont examinés par des </w:t>
      </w:r>
      <w:r w:rsidRPr="003A0921">
        <w:rPr>
          <w:b/>
          <w:lang w:val="fr-BE"/>
        </w:rPr>
        <w:t>experts indépendants</w:t>
      </w:r>
      <w:r>
        <w:rPr>
          <w:lang w:val="fr-BE"/>
        </w:rPr>
        <w:t xml:space="preserve">, désignés par le Comité de gestion du Fonds. Ils sont chargés de lui faire rapport et de transmettre des propositions motivées concernant l’aide à octroyer. Les </w:t>
      </w:r>
      <w:r w:rsidRPr="003A0921">
        <w:rPr>
          <w:b/>
          <w:lang w:val="fr-BE"/>
        </w:rPr>
        <w:t>critères</w:t>
      </w:r>
      <w:r>
        <w:rPr>
          <w:lang w:val="fr-BE"/>
        </w:rPr>
        <w:t xml:space="preserve"> suivants guident l’examen des dossiers:</w:t>
      </w:r>
    </w:p>
    <w:p w14:paraId="4CDC535F" w14:textId="77777777" w:rsidR="003A50C3" w:rsidRDefault="003A50C3" w:rsidP="000C04F5">
      <w:pPr>
        <w:rPr>
          <w:lang w:val="fr-BE"/>
        </w:rPr>
      </w:pPr>
    </w:p>
    <w:p w14:paraId="15AC3974" w14:textId="77777777" w:rsidR="000C04F5" w:rsidRDefault="000C04F5" w:rsidP="000C04F5">
      <w:pPr>
        <w:numPr>
          <w:ilvl w:val="0"/>
          <w:numId w:val="9"/>
        </w:numPr>
        <w:jc w:val="both"/>
        <w:rPr>
          <w:lang w:val="fr-BE"/>
        </w:rPr>
      </w:pPr>
      <w:r>
        <w:rPr>
          <w:lang w:val="fr-BE"/>
        </w:rPr>
        <w:t xml:space="preserve">la </w:t>
      </w:r>
      <w:r w:rsidRPr="00274E75">
        <w:rPr>
          <w:b/>
          <w:lang w:val="fr-BE"/>
        </w:rPr>
        <w:t>qualité</w:t>
      </w:r>
      <w:r>
        <w:rPr>
          <w:lang w:val="fr-BE"/>
        </w:rPr>
        <w:t xml:space="preserve"> du projet ;</w:t>
      </w:r>
    </w:p>
    <w:p w14:paraId="0B24C872" w14:textId="77777777" w:rsidR="000C04F5" w:rsidRPr="0063276B" w:rsidRDefault="000C04F5" w:rsidP="000C04F5">
      <w:pPr>
        <w:numPr>
          <w:ilvl w:val="0"/>
          <w:numId w:val="9"/>
        </w:numPr>
        <w:jc w:val="both"/>
        <w:rPr>
          <w:lang w:val="fr-BE"/>
        </w:rPr>
      </w:pPr>
      <w:r>
        <w:rPr>
          <w:b/>
          <w:lang w:val="fr-BE"/>
        </w:rPr>
        <w:t>l</w:t>
      </w:r>
      <w:r w:rsidRPr="0063276B">
        <w:rPr>
          <w:b/>
          <w:lang w:val="fr-BE"/>
        </w:rPr>
        <w:t>’accessibilité</w:t>
      </w:r>
      <w:r w:rsidRPr="0063276B">
        <w:rPr>
          <w:lang w:val="fr-BE"/>
        </w:rPr>
        <w:t xml:space="preserve"> de l’œuvre</w:t>
      </w:r>
      <w:r>
        <w:rPr>
          <w:lang w:val="fr-BE"/>
        </w:rPr>
        <w:t> ;</w:t>
      </w:r>
    </w:p>
    <w:p w14:paraId="1D2A84D3" w14:textId="77777777" w:rsidR="000C04F5" w:rsidRDefault="000C04F5" w:rsidP="000C04F5">
      <w:pPr>
        <w:numPr>
          <w:ilvl w:val="0"/>
          <w:numId w:val="9"/>
        </w:numPr>
        <w:jc w:val="both"/>
        <w:rPr>
          <w:lang w:val="fr-BE"/>
        </w:rPr>
      </w:pPr>
      <w:r>
        <w:rPr>
          <w:b/>
          <w:lang w:val="fr-BE"/>
        </w:rPr>
        <w:t>l</w:t>
      </w:r>
      <w:r w:rsidRPr="00062CE3">
        <w:rPr>
          <w:b/>
          <w:lang w:val="fr-BE"/>
        </w:rPr>
        <w:t>’importance</w:t>
      </w:r>
      <w:r>
        <w:rPr>
          <w:lang w:val="fr-BE"/>
        </w:rPr>
        <w:t xml:space="preserve"> de l’œuvre dans la production de l’artiste, dans l’histoire de l’art ou dans la collection de l’institution ;</w:t>
      </w:r>
    </w:p>
    <w:p w14:paraId="03364A1A" w14:textId="77777777" w:rsidR="000C04F5" w:rsidRDefault="000C04F5" w:rsidP="000C04F5">
      <w:pPr>
        <w:numPr>
          <w:ilvl w:val="0"/>
          <w:numId w:val="9"/>
        </w:numPr>
        <w:jc w:val="both"/>
        <w:rPr>
          <w:lang w:val="fr-BE"/>
        </w:rPr>
      </w:pPr>
      <w:r w:rsidRPr="00062CE3">
        <w:rPr>
          <w:b/>
          <w:lang w:val="fr-BE"/>
        </w:rPr>
        <w:t>l’urgence</w:t>
      </w:r>
      <w:r>
        <w:rPr>
          <w:lang w:val="fr-BE"/>
        </w:rPr>
        <w:t xml:space="preserve"> du traitement pour raison de conservation ;</w:t>
      </w:r>
    </w:p>
    <w:p w14:paraId="54C58ACE" w14:textId="77777777" w:rsidR="000C04F5" w:rsidRDefault="000C04F5" w:rsidP="000C04F5">
      <w:pPr>
        <w:numPr>
          <w:ilvl w:val="0"/>
          <w:numId w:val="9"/>
        </w:numPr>
        <w:jc w:val="both"/>
        <w:rPr>
          <w:lang w:val="fr-BE"/>
        </w:rPr>
      </w:pPr>
      <w:r w:rsidRPr="00062CE3">
        <w:rPr>
          <w:b/>
          <w:lang w:val="fr-BE"/>
        </w:rPr>
        <w:t>la valeur exemplative</w:t>
      </w:r>
      <w:r>
        <w:rPr>
          <w:lang w:val="fr-BE"/>
        </w:rPr>
        <w:t xml:space="preserve"> du projet (entraînant e.a. un changement positif, d’autres projets, la reprise du projet par d’autres, …) ;</w:t>
      </w:r>
    </w:p>
    <w:p w14:paraId="396AE5FE" w14:textId="77777777" w:rsidR="000C04F5" w:rsidRDefault="000C04F5" w:rsidP="000C04F5">
      <w:pPr>
        <w:numPr>
          <w:ilvl w:val="0"/>
          <w:numId w:val="9"/>
        </w:numPr>
        <w:jc w:val="both"/>
        <w:rPr>
          <w:lang w:val="fr-BE"/>
        </w:rPr>
      </w:pPr>
      <w:r>
        <w:rPr>
          <w:b/>
          <w:bCs/>
          <w:lang w:val="fr-BE"/>
        </w:rPr>
        <w:t>la qualité de la mise en œuvre du projet</w:t>
      </w:r>
      <w:r>
        <w:rPr>
          <w:lang w:val="fr-BE"/>
        </w:rPr>
        <w:t xml:space="preserve"> (mesurée e.a. par la précision et la fiabilité du plan financier, le réalisme du calendrier, l’évaluation et le suivi du projet…) ;</w:t>
      </w:r>
    </w:p>
    <w:p w14:paraId="550613FE" w14:textId="77777777" w:rsidR="000C04F5" w:rsidRPr="00507194" w:rsidRDefault="000C04F5" w:rsidP="000C04F5">
      <w:pPr>
        <w:numPr>
          <w:ilvl w:val="0"/>
          <w:numId w:val="9"/>
        </w:numPr>
        <w:jc w:val="both"/>
        <w:rPr>
          <w:b/>
          <w:bCs/>
          <w:lang w:val="fr-BE"/>
        </w:rPr>
      </w:pPr>
      <w:r>
        <w:rPr>
          <w:b/>
          <w:bCs/>
          <w:lang w:val="fr-BE"/>
        </w:rPr>
        <w:t>les garanties de continuité du projet</w:t>
      </w:r>
      <w:r>
        <w:rPr>
          <w:lang w:val="fr-BE"/>
        </w:rPr>
        <w:t xml:space="preserve"> (accessibilité de l’œuvre, possibilité de débouchés des publications et des études, amélioration due au nouvel aménagement…) ;</w:t>
      </w:r>
    </w:p>
    <w:p w14:paraId="6539E57E" w14:textId="129BB35F" w:rsidR="000C04F5" w:rsidRDefault="000C04F5" w:rsidP="000C04F5">
      <w:pPr>
        <w:numPr>
          <w:ilvl w:val="0"/>
          <w:numId w:val="9"/>
        </w:numPr>
        <w:jc w:val="both"/>
        <w:rPr>
          <w:b/>
          <w:bCs/>
          <w:lang w:val="fr-BE"/>
        </w:rPr>
      </w:pPr>
      <w:r>
        <w:rPr>
          <w:b/>
          <w:bCs/>
          <w:lang w:val="fr-BE"/>
        </w:rPr>
        <w:t>l’actualité</w:t>
      </w:r>
      <w:r w:rsidR="004762CB">
        <w:rPr>
          <w:bCs/>
          <w:lang w:val="fr-BE"/>
        </w:rPr>
        <w:t>.</w:t>
      </w:r>
    </w:p>
    <w:p w14:paraId="7925F407" w14:textId="77777777" w:rsidR="000C04F5" w:rsidRDefault="000C04F5" w:rsidP="000C04F5">
      <w:pPr>
        <w:jc w:val="both"/>
        <w:rPr>
          <w:b/>
          <w:bCs/>
          <w:lang w:val="fr-BE"/>
        </w:rPr>
      </w:pPr>
    </w:p>
    <w:p w14:paraId="400FA7E7" w14:textId="77777777" w:rsidR="000C04F5" w:rsidRDefault="000C04F5" w:rsidP="000C04F5">
      <w:pPr>
        <w:ind w:left="360"/>
        <w:jc w:val="both"/>
        <w:rPr>
          <w:lang w:val="fr-BE"/>
        </w:rPr>
      </w:pPr>
    </w:p>
    <w:p w14:paraId="33A93065" w14:textId="77777777" w:rsidR="000C04F5" w:rsidRPr="008D1EB3" w:rsidRDefault="000C04F5" w:rsidP="000C04F5">
      <w:pPr>
        <w:rPr>
          <w:lang w:val="fr-BE"/>
        </w:rPr>
      </w:pPr>
      <w:r w:rsidRPr="008D1EB3">
        <w:rPr>
          <w:lang w:val="fr-BE"/>
        </w:rPr>
        <w:t xml:space="preserve">La </w:t>
      </w:r>
      <w:r w:rsidRPr="008D1EB3">
        <w:rPr>
          <w:b/>
          <w:lang w:val="fr-BE"/>
        </w:rPr>
        <w:t>sélection</w:t>
      </w:r>
      <w:r w:rsidRPr="008D1EB3">
        <w:rPr>
          <w:lang w:val="fr-BE"/>
        </w:rPr>
        <w:t xml:space="preserve"> est assurée par le Comité de gestion qui se réunit une fois par an. Si nécessaire, il fait appel à l’avis</w:t>
      </w:r>
      <w:r>
        <w:rPr>
          <w:lang w:val="fr-BE"/>
        </w:rPr>
        <w:t xml:space="preserve"> d’</w:t>
      </w:r>
      <w:r w:rsidRPr="008D1EB3">
        <w:rPr>
          <w:lang w:val="fr-BE"/>
        </w:rPr>
        <w:t>experts indépendants</w:t>
      </w:r>
      <w:r>
        <w:rPr>
          <w:lang w:val="fr-BE"/>
        </w:rPr>
        <w:t>.</w:t>
      </w:r>
      <w:r w:rsidRPr="008D1EB3">
        <w:rPr>
          <w:lang w:val="fr-BE"/>
        </w:rPr>
        <w:t xml:space="preserve"> Le Comité de gestion ne motive pas ses décisions qui sont sans appel. </w:t>
      </w:r>
    </w:p>
    <w:p w14:paraId="7CB2669C" w14:textId="77777777" w:rsidR="000C04F5" w:rsidRPr="008D1EB3" w:rsidRDefault="000C04F5" w:rsidP="000C04F5">
      <w:pPr>
        <w:rPr>
          <w:lang w:val="fr-BE"/>
        </w:rPr>
      </w:pPr>
    </w:p>
    <w:p w14:paraId="6317594B" w14:textId="77777777" w:rsidR="000C04F5" w:rsidRPr="008D1EB3" w:rsidRDefault="000C04F5" w:rsidP="000C04F5">
      <w:pPr>
        <w:rPr>
          <w:lang w:val="fr-BE"/>
        </w:rPr>
      </w:pPr>
      <w:r w:rsidRPr="008D1EB3">
        <w:rPr>
          <w:lang w:val="fr-BE"/>
        </w:rPr>
        <w:t>Chaque candidat est informé par écrit du résultat de la sélection. Tout projet sélectionné fait l’objet d’une convention prévoyant une procédure de contrôle quant à l’affectation du soutien.</w:t>
      </w:r>
    </w:p>
    <w:p w14:paraId="11C97E5F" w14:textId="77777777" w:rsidR="000C04F5" w:rsidRDefault="000C04F5" w:rsidP="000C04F5">
      <w:pPr>
        <w:rPr>
          <w:rFonts w:ascii="Arial" w:hAnsi="Arial"/>
          <w:lang w:val="fr-BE"/>
        </w:rPr>
      </w:pPr>
    </w:p>
    <w:p w14:paraId="7A01BA1B" w14:textId="77777777" w:rsidR="000C04F5" w:rsidRDefault="000C04F5" w:rsidP="000C04F5">
      <w:pPr>
        <w:rPr>
          <w:lang w:val="fr-BE"/>
        </w:rPr>
      </w:pPr>
      <w:r w:rsidRPr="00055640">
        <w:rPr>
          <w:lang w:val="fr-BE"/>
        </w:rPr>
        <w:t xml:space="preserve">Pour être pris en considération, les dossiers introduits doivent répondre aux </w:t>
      </w:r>
      <w:r w:rsidRPr="009F30EB">
        <w:rPr>
          <w:b/>
          <w:lang w:val="fr-BE"/>
        </w:rPr>
        <w:t>critères de recevabilité</w:t>
      </w:r>
      <w:r w:rsidRPr="00055640">
        <w:rPr>
          <w:lang w:val="fr-BE"/>
        </w:rPr>
        <w:t xml:space="preserve"> suivants :</w:t>
      </w:r>
    </w:p>
    <w:p w14:paraId="13621851" w14:textId="77777777" w:rsidR="004762CB" w:rsidRPr="00055640" w:rsidRDefault="004762CB" w:rsidP="000C04F5">
      <w:pPr>
        <w:rPr>
          <w:lang w:val="fr-BE"/>
        </w:rPr>
      </w:pPr>
    </w:p>
    <w:p w14:paraId="2F4D9578" w14:textId="77777777" w:rsidR="000C04F5" w:rsidRDefault="000C04F5" w:rsidP="000C04F5">
      <w:pPr>
        <w:numPr>
          <w:ilvl w:val="0"/>
          <w:numId w:val="10"/>
        </w:numPr>
        <w:rPr>
          <w:rFonts w:ascii="Arial" w:hAnsi="Arial"/>
          <w:lang w:val="fr-BE"/>
        </w:rPr>
      </w:pPr>
      <w:r>
        <w:rPr>
          <w:lang w:val="fr-BE"/>
        </w:rPr>
        <w:t>Le formulaire de candidature doit être rempli complètement.</w:t>
      </w:r>
    </w:p>
    <w:p w14:paraId="4E6BF994" w14:textId="77777777" w:rsidR="000C04F5" w:rsidRPr="00100631" w:rsidRDefault="000C04F5" w:rsidP="000C04F5">
      <w:pPr>
        <w:numPr>
          <w:ilvl w:val="0"/>
          <w:numId w:val="10"/>
        </w:numPr>
        <w:rPr>
          <w:lang w:val="fr-BE"/>
        </w:rPr>
      </w:pPr>
      <w:r>
        <w:rPr>
          <w:lang w:val="fr-BE"/>
        </w:rPr>
        <w:t>Le porteur du projet est le représentant d’une collectivité, une organisation sans but lucratif, une institution, un groupe de bénévoles ou une institution publique locale (c.à.d. pas une organisation commercial</w:t>
      </w:r>
      <w:r w:rsidRPr="007C7119">
        <w:rPr>
          <w:lang w:val="fr-BE"/>
        </w:rPr>
        <w:t>e)</w:t>
      </w:r>
      <w:r w:rsidRPr="007C7119">
        <w:rPr>
          <w:lang w:val="fr-FR"/>
        </w:rPr>
        <w:t>.</w:t>
      </w:r>
    </w:p>
    <w:p w14:paraId="1F528C91" w14:textId="77777777" w:rsidR="000C04F5" w:rsidRDefault="000C04F5" w:rsidP="000C04F5">
      <w:pPr>
        <w:numPr>
          <w:ilvl w:val="0"/>
          <w:numId w:val="10"/>
        </w:numPr>
        <w:rPr>
          <w:lang w:val="fr-BE"/>
        </w:rPr>
      </w:pPr>
      <w:r>
        <w:rPr>
          <w:lang w:val="fr-BE"/>
        </w:rPr>
        <w:lastRenderedPageBreak/>
        <w:t>Le projet doit être pertinent par rapport aux objectifs du Fonds.</w:t>
      </w:r>
    </w:p>
    <w:p w14:paraId="329898D8" w14:textId="77777777" w:rsidR="004762CB" w:rsidRDefault="004762CB" w:rsidP="004762CB">
      <w:pPr>
        <w:rPr>
          <w:lang w:val="fr-BE"/>
        </w:rPr>
      </w:pPr>
    </w:p>
    <w:p w14:paraId="79D4E444" w14:textId="77777777" w:rsidR="004762CB" w:rsidRDefault="004762CB" w:rsidP="004C43A8">
      <w:pPr>
        <w:rPr>
          <w:lang w:val="fr-BE"/>
        </w:rPr>
      </w:pPr>
    </w:p>
    <w:p w14:paraId="3CE75C6F" w14:textId="77777777" w:rsidR="000C04F5" w:rsidRPr="00181618" w:rsidRDefault="000C04F5" w:rsidP="000C04F5">
      <w:pPr>
        <w:numPr>
          <w:ilvl w:val="0"/>
          <w:numId w:val="11"/>
        </w:numPr>
        <w:rPr>
          <w:b/>
          <w:bCs/>
          <w:sz w:val="28"/>
          <w:szCs w:val="28"/>
          <w:u w:val="single"/>
          <w:lang w:val="fr-BE"/>
        </w:rPr>
      </w:pPr>
      <w:r w:rsidRPr="00181618">
        <w:rPr>
          <w:b/>
          <w:bCs/>
          <w:sz w:val="28"/>
          <w:szCs w:val="28"/>
          <w:u w:val="single"/>
          <w:lang w:val="fr-BE"/>
        </w:rPr>
        <w:t>Modalités de participation</w:t>
      </w:r>
    </w:p>
    <w:p w14:paraId="1A627DD2" w14:textId="77777777" w:rsidR="000C04F5" w:rsidRPr="00BB3F31" w:rsidRDefault="000C04F5" w:rsidP="000C04F5">
      <w:pPr>
        <w:ind w:left="360"/>
        <w:rPr>
          <w:rFonts w:ascii="Arial" w:hAnsi="Arial"/>
          <w:lang w:val="fr-BE"/>
        </w:rPr>
      </w:pPr>
    </w:p>
    <w:p w14:paraId="4F8197D6" w14:textId="74C29FD5" w:rsidR="000C04F5" w:rsidRDefault="000C04F5" w:rsidP="000C04F5">
      <w:pPr>
        <w:rPr>
          <w:lang w:val="fr-FR"/>
        </w:rPr>
      </w:pPr>
      <w:r>
        <w:rPr>
          <w:lang w:val="fr-FR"/>
        </w:rPr>
        <w:t>Seuls les dossiers de candidature complétés en ligne seront pris en considération (</w:t>
      </w:r>
      <w:hyperlink r:id="rId11" w:history="1">
        <w:r>
          <w:rPr>
            <w:rStyle w:val="Hyperlink"/>
            <w:lang w:val="fr-FR"/>
          </w:rPr>
          <w:t>www.kbs-frb.be</w:t>
        </w:r>
      </w:hyperlink>
      <w:r>
        <w:rPr>
          <w:lang w:val="fr-FR"/>
        </w:rPr>
        <w:t xml:space="preserve">  – taper ‘Courtin-Bouché’ dans la fonction recherche).</w:t>
      </w:r>
      <w:r>
        <w:rPr>
          <w:iCs/>
          <w:lang w:val="fr-BE"/>
        </w:rPr>
        <w:t xml:space="preserve"> </w:t>
      </w:r>
    </w:p>
    <w:p w14:paraId="39AACF93" w14:textId="77777777" w:rsidR="000C04F5" w:rsidRPr="005F2CB2" w:rsidRDefault="000C04F5" w:rsidP="000C04F5">
      <w:pPr>
        <w:tabs>
          <w:tab w:val="left" w:pos="2790"/>
          <w:tab w:val="left" w:pos="3525"/>
          <w:tab w:val="right" w:pos="8853"/>
        </w:tabs>
        <w:rPr>
          <w:highlight w:val="yellow"/>
          <w:lang w:val="fr-BE"/>
        </w:rPr>
      </w:pPr>
    </w:p>
    <w:p w14:paraId="68EA0448" w14:textId="77777777" w:rsidR="000C04F5" w:rsidRPr="005F2CB2" w:rsidRDefault="000C04F5" w:rsidP="000C04F5">
      <w:pPr>
        <w:rPr>
          <w:iCs/>
          <w:lang w:val="fr-BE"/>
        </w:rPr>
      </w:pPr>
      <w:r w:rsidRPr="005F2CB2">
        <w:rPr>
          <w:bCs/>
          <w:lang w:val="fr-BE"/>
        </w:rPr>
        <w:t>Les annexes suivantes seront demandées :</w:t>
      </w:r>
    </w:p>
    <w:p w14:paraId="74B31BBD" w14:textId="77777777" w:rsidR="000C04F5" w:rsidRPr="005F2CB2" w:rsidRDefault="000C04F5" w:rsidP="000C04F5">
      <w:pPr>
        <w:numPr>
          <w:ilvl w:val="0"/>
          <w:numId w:val="12"/>
        </w:numPr>
        <w:tabs>
          <w:tab w:val="clear" w:pos="2835"/>
          <w:tab w:val="clear" w:pos="6804"/>
        </w:tabs>
        <w:spacing w:before="100" w:beforeAutospacing="1" w:after="100" w:afterAutospacing="1" w:line="276" w:lineRule="auto"/>
        <w:rPr>
          <w:rFonts w:eastAsia="Times New Roman"/>
          <w:lang w:val="fr-FR" w:eastAsia="nl-BE"/>
        </w:rPr>
      </w:pPr>
      <w:r>
        <w:rPr>
          <w:rFonts w:eastAsia="Times New Roman"/>
          <w:lang w:val="fr-FR" w:eastAsia="nl-BE"/>
        </w:rPr>
        <w:t>d</w:t>
      </w:r>
      <w:r w:rsidRPr="005F2CB2">
        <w:rPr>
          <w:rFonts w:eastAsia="Times New Roman"/>
          <w:lang w:val="fr-FR" w:eastAsia="nl-BE"/>
        </w:rPr>
        <w:t>escription des partenaires</w:t>
      </w:r>
      <w:r>
        <w:rPr>
          <w:rFonts w:eastAsia="Times New Roman"/>
          <w:lang w:val="fr-FR" w:eastAsia="nl-BE"/>
        </w:rPr>
        <w:t> ;</w:t>
      </w:r>
    </w:p>
    <w:p w14:paraId="163C1CD8" w14:textId="77777777" w:rsidR="000C04F5" w:rsidRPr="005F2CB2" w:rsidRDefault="000C04F5" w:rsidP="000C04F5">
      <w:pPr>
        <w:numPr>
          <w:ilvl w:val="0"/>
          <w:numId w:val="12"/>
        </w:numPr>
        <w:tabs>
          <w:tab w:val="clear" w:pos="2835"/>
          <w:tab w:val="clear" w:pos="6804"/>
        </w:tabs>
        <w:spacing w:before="100" w:beforeAutospacing="1" w:after="100" w:afterAutospacing="1" w:line="276" w:lineRule="auto"/>
        <w:rPr>
          <w:rFonts w:eastAsia="Times New Roman"/>
          <w:lang w:val="fr-FR" w:eastAsia="nl-BE"/>
        </w:rPr>
      </w:pPr>
      <w:r>
        <w:rPr>
          <w:rFonts w:eastAsia="Times New Roman"/>
          <w:lang w:val="fr-FR" w:eastAsia="nl-BE"/>
        </w:rPr>
        <w:t>l</w:t>
      </w:r>
      <w:r w:rsidRPr="005F2CB2">
        <w:rPr>
          <w:rFonts w:eastAsia="Times New Roman"/>
          <w:lang w:val="fr-FR" w:eastAsia="nl-BE"/>
        </w:rPr>
        <w:t>es informations pratiques</w:t>
      </w:r>
      <w:r>
        <w:rPr>
          <w:rFonts w:eastAsia="Times New Roman"/>
          <w:lang w:val="fr-FR" w:eastAsia="nl-BE"/>
        </w:rPr>
        <w:t> ;</w:t>
      </w:r>
    </w:p>
    <w:p w14:paraId="1B2B55A0" w14:textId="77777777" w:rsidR="000C04F5" w:rsidRPr="005F2CB2" w:rsidRDefault="000C04F5" w:rsidP="000C04F5">
      <w:pPr>
        <w:numPr>
          <w:ilvl w:val="0"/>
          <w:numId w:val="12"/>
        </w:numPr>
        <w:tabs>
          <w:tab w:val="clear" w:pos="2835"/>
          <w:tab w:val="clear" w:pos="6804"/>
        </w:tabs>
        <w:spacing w:before="100" w:beforeAutospacing="1" w:after="100" w:afterAutospacing="1" w:line="276" w:lineRule="auto"/>
        <w:rPr>
          <w:rFonts w:eastAsia="Times New Roman"/>
          <w:lang w:val="fr-FR" w:eastAsia="nl-BE"/>
        </w:rPr>
      </w:pPr>
      <w:r>
        <w:rPr>
          <w:rFonts w:eastAsia="Times New Roman"/>
          <w:lang w:val="fr-FR" w:eastAsia="nl-BE"/>
        </w:rPr>
        <w:t>p</w:t>
      </w:r>
      <w:r w:rsidRPr="005F2CB2">
        <w:rPr>
          <w:rFonts w:eastAsia="Times New Roman"/>
          <w:lang w:val="fr-FR" w:eastAsia="nl-BE"/>
        </w:rPr>
        <w:t>hotos du projet</w:t>
      </w:r>
      <w:r>
        <w:rPr>
          <w:rFonts w:eastAsia="Times New Roman"/>
          <w:lang w:val="fr-FR" w:eastAsia="nl-BE"/>
        </w:rPr>
        <w:t> ;</w:t>
      </w:r>
    </w:p>
    <w:p w14:paraId="688095B7" w14:textId="77777777" w:rsidR="000C04F5" w:rsidRDefault="000C04F5" w:rsidP="000C04F5">
      <w:pPr>
        <w:numPr>
          <w:ilvl w:val="0"/>
          <w:numId w:val="12"/>
        </w:numPr>
        <w:tabs>
          <w:tab w:val="clear" w:pos="2835"/>
          <w:tab w:val="clear" w:pos="6804"/>
        </w:tabs>
        <w:spacing w:before="100" w:beforeAutospacing="1" w:after="100" w:afterAutospacing="1" w:line="276" w:lineRule="auto"/>
        <w:rPr>
          <w:rFonts w:eastAsia="Times New Roman"/>
          <w:lang w:val="fr-FR" w:eastAsia="nl-BE"/>
        </w:rPr>
      </w:pPr>
      <w:r>
        <w:rPr>
          <w:rFonts w:eastAsia="Times New Roman"/>
          <w:lang w:val="fr-FR" w:eastAsia="nl-BE"/>
        </w:rPr>
        <w:t>s</w:t>
      </w:r>
      <w:r w:rsidRPr="005F2CB2">
        <w:rPr>
          <w:rFonts w:eastAsia="Times New Roman"/>
          <w:lang w:val="fr-FR" w:eastAsia="nl-BE"/>
        </w:rPr>
        <w:t>i le candidat n’est pas le propriétaire, l’autorisation ou la procuration du propriétaire</w:t>
      </w:r>
      <w:r>
        <w:rPr>
          <w:rFonts w:eastAsia="Times New Roman"/>
          <w:lang w:val="fr-FR" w:eastAsia="nl-BE"/>
        </w:rPr>
        <w:t> ;</w:t>
      </w:r>
      <w:r w:rsidRPr="005F2CB2">
        <w:rPr>
          <w:rFonts w:eastAsia="Times New Roman"/>
          <w:lang w:val="fr-FR" w:eastAsia="nl-BE"/>
        </w:rPr>
        <w:t xml:space="preserve"> </w:t>
      </w:r>
    </w:p>
    <w:p w14:paraId="2275B0C5" w14:textId="77777777" w:rsidR="00F61CF4" w:rsidRPr="000C04F5" w:rsidRDefault="00F61CF4" w:rsidP="00F61CF4">
      <w:pPr>
        <w:pStyle w:val="ListParagraph"/>
        <w:numPr>
          <w:ilvl w:val="0"/>
          <w:numId w:val="12"/>
        </w:numPr>
        <w:tabs>
          <w:tab w:val="clear" w:pos="2835"/>
          <w:tab w:val="clear" w:pos="6804"/>
        </w:tabs>
        <w:spacing w:before="100" w:beforeAutospacing="1" w:after="100" w:afterAutospacing="1" w:line="276" w:lineRule="auto"/>
        <w:rPr>
          <w:rFonts w:eastAsia="Times New Roman"/>
          <w:lang w:val="fr-FR" w:eastAsia="nl-BE"/>
        </w:rPr>
      </w:pPr>
      <w:r w:rsidRPr="000C04F5">
        <w:rPr>
          <w:rFonts w:eastAsia="Times New Roman"/>
          <w:lang w:val="fr-FR"/>
        </w:rPr>
        <w:t xml:space="preserve">en cas de restauration, </w:t>
      </w:r>
      <w:r w:rsidRPr="000C04F5">
        <w:rPr>
          <w:rFonts w:eastAsia="Times New Roman"/>
          <w:lang w:val="fr-FR" w:eastAsia="nl-BE"/>
        </w:rPr>
        <w:t>une description du traitement proposé et une estimation détaillée ainsi que le CV du restaurateur ;</w:t>
      </w:r>
    </w:p>
    <w:p w14:paraId="27FC8F55" w14:textId="77777777" w:rsidR="000C04F5" w:rsidRPr="000C04F5" w:rsidRDefault="000C04F5" w:rsidP="000C04F5">
      <w:pPr>
        <w:pStyle w:val="ListParagraph"/>
        <w:numPr>
          <w:ilvl w:val="0"/>
          <w:numId w:val="12"/>
        </w:numPr>
        <w:tabs>
          <w:tab w:val="clear" w:pos="2835"/>
          <w:tab w:val="clear" w:pos="6804"/>
        </w:tabs>
        <w:spacing w:before="100" w:beforeAutospacing="1" w:after="100" w:afterAutospacing="1" w:line="276" w:lineRule="auto"/>
        <w:rPr>
          <w:rFonts w:eastAsia="Times New Roman"/>
          <w:lang w:val="fr-FR" w:eastAsia="nl-BE"/>
        </w:rPr>
      </w:pPr>
      <w:r w:rsidRPr="000C04F5">
        <w:rPr>
          <w:rFonts w:eastAsia="Times New Roman"/>
          <w:lang w:val="fr-FR"/>
        </w:rPr>
        <w:t xml:space="preserve">s'il s'agit d'une publication, un résumé, la table des matières et des </w:t>
      </w:r>
      <w:r w:rsidRPr="000C04F5">
        <w:rPr>
          <w:rFonts w:eastAsia="Times New Roman"/>
          <w:lang w:val="fr-FR" w:eastAsia="nl-BE"/>
        </w:rPr>
        <w:t xml:space="preserve">informations sur le   contrat d'édition (max. 1 à 2 pages) ; </w:t>
      </w:r>
    </w:p>
    <w:p w14:paraId="1F138167" w14:textId="77777777" w:rsidR="000C04F5" w:rsidRPr="005F2CB2" w:rsidRDefault="000C04F5" w:rsidP="000C04F5">
      <w:pPr>
        <w:numPr>
          <w:ilvl w:val="0"/>
          <w:numId w:val="12"/>
        </w:numPr>
        <w:tabs>
          <w:tab w:val="clear" w:pos="2835"/>
          <w:tab w:val="clear" w:pos="6804"/>
        </w:tabs>
        <w:spacing w:before="100" w:beforeAutospacing="1" w:after="100" w:afterAutospacing="1" w:line="276" w:lineRule="auto"/>
        <w:ind w:left="284" w:hanging="11"/>
        <w:rPr>
          <w:rFonts w:eastAsia="Times New Roman"/>
          <w:lang w:val="fr-FR" w:eastAsia="nl-BE"/>
        </w:rPr>
      </w:pPr>
      <w:r>
        <w:rPr>
          <w:rFonts w:eastAsia="Times New Roman"/>
          <w:lang w:val="fr-FR" w:eastAsia="nl-BE"/>
        </w:rPr>
        <w:t>s</w:t>
      </w:r>
      <w:r w:rsidRPr="005F2CB2">
        <w:rPr>
          <w:rFonts w:eastAsia="Times New Roman"/>
          <w:lang w:val="fr-FR" w:eastAsia="nl-BE"/>
        </w:rPr>
        <w:t>’il s’agit</w:t>
      </w:r>
      <w:r w:rsidRPr="005F2CB2">
        <w:rPr>
          <w:rFonts w:eastAsia="Times New Roman"/>
          <w:lang w:val="fr-FR"/>
        </w:rPr>
        <w:t xml:space="preserve"> d'un événement ou d'une exposition, le scénario et </w:t>
      </w:r>
      <w:r w:rsidRPr="005F2CB2">
        <w:rPr>
          <w:rFonts w:eastAsia="Times New Roman"/>
          <w:lang w:val="fr-FR" w:eastAsia="nl-BE"/>
        </w:rPr>
        <w:t>les plans</w:t>
      </w:r>
      <w:r>
        <w:rPr>
          <w:rFonts w:eastAsia="Times New Roman"/>
          <w:lang w:val="fr-FR" w:eastAsia="nl-BE"/>
        </w:rPr>
        <w:t> ;</w:t>
      </w:r>
      <w:r w:rsidRPr="005F2CB2">
        <w:rPr>
          <w:rFonts w:eastAsia="Times New Roman"/>
          <w:lang w:val="fr-FR" w:eastAsia="nl-BE"/>
        </w:rPr>
        <w:t xml:space="preserve"> </w:t>
      </w:r>
    </w:p>
    <w:p w14:paraId="30989C7B" w14:textId="77777777" w:rsidR="000C04F5" w:rsidRPr="005F2CB2" w:rsidRDefault="000C04F5" w:rsidP="000C04F5">
      <w:pPr>
        <w:numPr>
          <w:ilvl w:val="0"/>
          <w:numId w:val="12"/>
        </w:numPr>
        <w:tabs>
          <w:tab w:val="clear" w:pos="2835"/>
          <w:tab w:val="clear" w:pos="6804"/>
        </w:tabs>
        <w:autoSpaceDE w:val="0"/>
        <w:autoSpaceDN w:val="0"/>
        <w:adjustRightInd w:val="0"/>
        <w:spacing w:before="100" w:beforeAutospacing="1" w:after="100" w:afterAutospacing="1" w:line="276" w:lineRule="auto"/>
        <w:ind w:left="0" w:firstLine="284"/>
        <w:rPr>
          <w:rFonts w:ascii="Arial" w:hAnsi="Arial"/>
          <w:iCs/>
          <w:lang w:val="fr-FR"/>
        </w:rPr>
      </w:pPr>
      <w:r w:rsidRPr="005F2CB2">
        <w:rPr>
          <w:rFonts w:eastAsia="Times New Roman"/>
          <w:lang w:val="fr-FR"/>
        </w:rPr>
        <w:t>le cahier des charges et/ou l’offre de prix</w:t>
      </w:r>
      <w:r>
        <w:rPr>
          <w:rFonts w:eastAsia="Times New Roman"/>
          <w:lang w:val="fr-FR" w:eastAsia="nl-BE"/>
        </w:rPr>
        <w:t>.</w:t>
      </w:r>
      <w:r w:rsidRPr="005F2CB2">
        <w:rPr>
          <w:rFonts w:eastAsia="Times New Roman"/>
          <w:lang w:val="fr-FR" w:eastAsia="nl-BE"/>
        </w:rPr>
        <w:br/>
      </w:r>
    </w:p>
    <w:p w14:paraId="69B7E5AF" w14:textId="77777777" w:rsidR="000C04F5" w:rsidRPr="004C0CDB" w:rsidRDefault="000C04F5" w:rsidP="000C04F5">
      <w:pPr>
        <w:rPr>
          <w:lang w:val="fr-BE"/>
        </w:rPr>
      </w:pPr>
    </w:p>
    <w:p w14:paraId="4EF363F5" w14:textId="77777777" w:rsidR="000C04F5" w:rsidRPr="006D482A" w:rsidRDefault="000C04F5" w:rsidP="000C04F5">
      <w:pPr>
        <w:rPr>
          <w:lang w:val="fr-FR"/>
        </w:rPr>
      </w:pPr>
    </w:p>
    <w:p w14:paraId="6A4E91BB" w14:textId="77777777" w:rsidR="000C04F5" w:rsidRPr="006D482A" w:rsidRDefault="000C04F5" w:rsidP="000C04F5">
      <w:pPr>
        <w:rPr>
          <w:lang w:val="fr-FR"/>
        </w:rPr>
      </w:pPr>
    </w:p>
    <w:p w14:paraId="6339AA11" w14:textId="77777777" w:rsidR="008D2841" w:rsidRPr="000C04F5" w:rsidRDefault="008D2841" w:rsidP="00741E1B">
      <w:pPr>
        <w:rPr>
          <w:lang w:val="fr-FR"/>
        </w:rPr>
      </w:pPr>
    </w:p>
    <w:sectPr w:rsidR="008D2841" w:rsidRPr="000C04F5" w:rsidSect="009511DD">
      <w:headerReference w:type="even" r:id="rId12"/>
      <w:headerReference w:type="default" r:id="rId13"/>
      <w:footerReference w:type="even" r:id="rId14"/>
      <w:footerReference w:type="default" r:id="rId15"/>
      <w:headerReference w:type="first" r:id="rId16"/>
      <w:footerReference w:type="first" r:id="rId17"/>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CC95" w14:textId="77777777" w:rsidR="00BE0956" w:rsidRDefault="00BE0956" w:rsidP="002A52E7">
      <w:r>
        <w:separator/>
      </w:r>
    </w:p>
  </w:endnote>
  <w:endnote w:type="continuationSeparator" w:id="0">
    <w:p w14:paraId="70A85F8B" w14:textId="77777777" w:rsidR="00BE0956" w:rsidRDefault="00BE0956"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8384" w14:textId="77777777" w:rsidR="007A66D0" w:rsidRDefault="007A6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84C" w14:textId="77777777" w:rsidR="00D937EA" w:rsidRPr="007A66D0" w:rsidRDefault="007A66D0" w:rsidP="007A66D0">
    <w:pPr>
      <w:pStyle w:val="Footer"/>
    </w:pPr>
    <w:r>
      <w:rPr>
        <w:noProof/>
        <w:lang w:val="en-US"/>
      </w:rPr>
      <w:drawing>
        <wp:inline distT="0" distB="0" distL="0" distR="0" wp14:anchorId="3FD0F06C" wp14:editId="066BA2B1">
          <wp:extent cx="4320540" cy="717804"/>
          <wp:effectExtent l="0" t="0" r="3810" b="635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DEA3" w14:textId="77777777" w:rsidR="007A66D0" w:rsidRDefault="007A6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C25A" w14:textId="77777777" w:rsidR="00BE0956" w:rsidRDefault="00BE0956" w:rsidP="002A52E7">
      <w:r>
        <w:separator/>
      </w:r>
    </w:p>
  </w:footnote>
  <w:footnote w:type="continuationSeparator" w:id="0">
    <w:p w14:paraId="4B611B37" w14:textId="77777777" w:rsidR="00BE0956" w:rsidRDefault="00BE0956"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FD96" w14:textId="77777777" w:rsidR="007A66D0" w:rsidRDefault="007A6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D79F"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02C1C9" w14:textId="77777777" w:rsidR="00314F41" w:rsidRDefault="00314F41" w:rsidP="00F5226E">
                          <w:pPr>
                            <w:pStyle w:val="Default"/>
                            <w:rPr>
                              <w:rFonts w:ascii="Tahoma" w:hAnsi="Tahoma" w:cs="Tahoma"/>
                              <w:b/>
                              <w:sz w:val="32"/>
                              <w:szCs w:val="32"/>
                              <w:lang w:val="nl-BE"/>
                            </w:rPr>
                          </w:pPr>
                        </w:p>
                        <w:p w14:paraId="4BD13F85" w14:textId="77777777" w:rsidR="00F5226E" w:rsidRPr="00314F41" w:rsidRDefault="009E6FA4" w:rsidP="00F5226E">
                          <w:pPr>
                            <w:pStyle w:val="Default"/>
                            <w:rPr>
                              <w:rFonts w:ascii="Tahoma" w:hAnsi="Tahoma" w:cs="Tahoma"/>
                              <w:b/>
                              <w:sz w:val="32"/>
                              <w:szCs w:val="32"/>
                              <w:lang w:val="fr-BE"/>
                            </w:rPr>
                          </w:pPr>
                          <w:r w:rsidRPr="009E6FA4">
                            <w:rPr>
                              <w:rFonts w:ascii="Tahoma" w:hAnsi="Tahoma" w:cs="Tahoma"/>
                              <w:b/>
                              <w:sz w:val="32"/>
                              <w:szCs w:val="32"/>
                              <w:lang w:val="fr-BE"/>
                            </w:rPr>
                            <w:t>Fonds Léon Courtin-Marcelle Bouché</w:t>
                          </w:r>
                        </w:p>
                        <w:p w14:paraId="357EA2C4" w14:textId="77777777" w:rsidR="00F5226E" w:rsidRPr="00314F41" w:rsidRDefault="00F5226E" w:rsidP="00F5226E">
                          <w:pPr>
                            <w:rPr>
                              <w:rFonts w:ascii="Tahoma" w:hAnsi="Tahoma" w:cs="Tahoma"/>
                              <w:color w:val="000000"/>
                              <w:sz w:val="26"/>
                              <w:szCs w:val="26"/>
                              <w:lang w:val="fr-BE"/>
                            </w:rPr>
                          </w:pPr>
                        </w:p>
                        <w:p w14:paraId="5636FDB0" w14:textId="77777777" w:rsidR="00F5226E" w:rsidRPr="00314F41" w:rsidRDefault="00F5226E" w:rsidP="00F5226E">
                          <w:pPr>
                            <w:jc w:val="center"/>
                            <w:rPr>
                              <w:rFonts w:ascii="Tahoma" w:hAnsi="Tahoma" w:cs="Tahoma"/>
                              <w:color w:val="000000"/>
                              <w:sz w:val="26"/>
                              <w:szCs w:val="26"/>
                              <w:lang w:val="fr-BE"/>
                            </w:rPr>
                          </w:pPr>
                        </w:p>
                        <w:p w14:paraId="16AF2387" w14:textId="77777777" w:rsidR="00F5226E" w:rsidRPr="00314F41" w:rsidRDefault="00F5226E" w:rsidP="00F5226E">
                          <w:pPr>
                            <w:rPr>
                              <w:lang w:val="fr-BE"/>
                            </w:rPr>
                          </w:pPr>
                        </w:p>
                        <w:p w14:paraId="57F2BCAC" w14:textId="77777777" w:rsidR="00D937EA" w:rsidRPr="00314F41" w:rsidRDefault="00D937EA">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" filled="f" stroked="f">
              <v:textbox>
                <w:txbxContent>
                  <w:p w:rsidR="00314F41" w:rsidRDefault="00314F41" w:rsidP="00F5226E">
                    <w:pPr>
                      <w:pStyle w:val="Default"/>
                      <w:rPr>
                        <w:rFonts w:ascii="Tahoma" w:hAnsi="Tahoma" w:cs="Tahoma"/>
                        <w:b/>
                        <w:sz w:val="32"/>
                        <w:szCs w:val="32"/>
                        <w:lang w:val="nl-BE"/>
                      </w:rPr>
                    </w:pPr>
                  </w:p>
                  <w:p w:rsidR="00F5226E" w:rsidRPr="00314F41" w:rsidRDefault="009E6FA4" w:rsidP="00F5226E">
                    <w:pPr>
                      <w:pStyle w:val="Default"/>
                      <w:rPr>
                        <w:rFonts w:ascii="Tahoma" w:hAnsi="Tahoma" w:cs="Tahoma"/>
                        <w:b/>
                        <w:sz w:val="32"/>
                        <w:szCs w:val="32"/>
                        <w:lang w:val="fr-BE"/>
                      </w:rPr>
                    </w:pPr>
                    <w:r w:rsidRPr="009E6FA4">
                      <w:rPr>
                        <w:rFonts w:ascii="Tahoma" w:hAnsi="Tahoma" w:cs="Tahoma"/>
                        <w:b/>
                        <w:sz w:val="32"/>
                        <w:szCs w:val="32"/>
                        <w:lang w:val="fr-BE"/>
                      </w:rPr>
                      <w:t>Fonds Léon Courtin-Marcelle Bouché</w:t>
                    </w:r>
                  </w:p>
                  <w:p w:rsidR="00F5226E" w:rsidRPr="00314F41" w:rsidRDefault="00F5226E" w:rsidP="00F5226E">
                    <w:pPr>
                      <w:rPr>
                        <w:rFonts w:ascii="Tahoma" w:hAnsi="Tahoma" w:cs="Tahoma"/>
                        <w:color w:val="000000"/>
                        <w:sz w:val="26"/>
                        <w:szCs w:val="26"/>
                        <w:lang w:val="fr-BE"/>
                      </w:rPr>
                    </w:pPr>
                  </w:p>
                  <w:p w:rsidR="00F5226E" w:rsidRPr="00314F41" w:rsidRDefault="00F5226E" w:rsidP="00F5226E">
                    <w:pPr>
                      <w:jc w:val="center"/>
                      <w:rPr>
                        <w:rFonts w:ascii="Tahoma" w:hAnsi="Tahoma" w:cs="Tahoma"/>
                        <w:color w:val="000000"/>
                        <w:sz w:val="26"/>
                        <w:szCs w:val="26"/>
                        <w:lang w:val="fr-BE"/>
                      </w:rPr>
                    </w:pPr>
                  </w:p>
                  <w:p w:rsidR="00F5226E" w:rsidRPr="00314F41" w:rsidRDefault="00F5226E" w:rsidP="00F5226E">
                    <w:pPr>
                      <w:rPr>
                        <w:lang w:val="fr-BE"/>
                      </w:rPr>
                    </w:pPr>
                  </w:p>
                  <w:p w:rsidR="00D937EA" w:rsidRPr="00314F41" w:rsidRDefault="00D937EA">
                    <w:pPr>
                      <w:rPr>
                        <w:lang w:val="fr-BE"/>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3209" w14:textId="77777777" w:rsidR="007A66D0" w:rsidRDefault="007A6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E6730"/>
    <w:multiLevelType w:val="hybridMultilevel"/>
    <w:tmpl w:val="DA2663C8"/>
    <w:lvl w:ilvl="0" w:tplc="0413000F">
      <w:start w:val="1"/>
      <w:numFmt w:val="decimal"/>
      <w:lvlText w:val="%1."/>
      <w:lvlJc w:val="left"/>
      <w:pPr>
        <w:tabs>
          <w:tab w:val="num" w:pos="720"/>
        </w:tabs>
        <w:ind w:left="720" w:hanging="360"/>
      </w:pPr>
    </w:lvl>
    <w:lvl w:ilvl="1" w:tplc="657A8906">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299F7092"/>
    <w:multiLevelType w:val="hybridMultilevel"/>
    <w:tmpl w:val="D256B8EE"/>
    <w:lvl w:ilvl="0" w:tplc="040C000F">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8"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CAF2162"/>
    <w:multiLevelType w:val="hybridMultilevel"/>
    <w:tmpl w:val="94D06344"/>
    <w:lvl w:ilvl="0" w:tplc="A864798C">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num>
  <w:num w:numId="7">
    <w:abstractNumId w:val="7"/>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F5"/>
    <w:rsid w:val="000151F9"/>
    <w:rsid w:val="00020F01"/>
    <w:rsid w:val="00033D71"/>
    <w:rsid w:val="000C04F5"/>
    <w:rsid w:val="000D00EC"/>
    <w:rsid w:val="00122878"/>
    <w:rsid w:val="00162A63"/>
    <w:rsid w:val="00171CC9"/>
    <w:rsid w:val="00181618"/>
    <w:rsid w:val="001F652F"/>
    <w:rsid w:val="00206EC5"/>
    <w:rsid w:val="00272D40"/>
    <w:rsid w:val="00293858"/>
    <w:rsid w:val="002A52E7"/>
    <w:rsid w:val="002C372A"/>
    <w:rsid w:val="00314F41"/>
    <w:rsid w:val="00323914"/>
    <w:rsid w:val="00331A16"/>
    <w:rsid w:val="00332D55"/>
    <w:rsid w:val="00392206"/>
    <w:rsid w:val="003A0C3D"/>
    <w:rsid w:val="003A50C3"/>
    <w:rsid w:val="003B4A89"/>
    <w:rsid w:val="003C144C"/>
    <w:rsid w:val="004558A5"/>
    <w:rsid w:val="004672C6"/>
    <w:rsid w:val="004762CB"/>
    <w:rsid w:val="004C43A8"/>
    <w:rsid w:val="004C6F38"/>
    <w:rsid w:val="004F0DE8"/>
    <w:rsid w:val="005670B7"/>
    <w:rsid w:val="00610DA4"/>
    <w:rsid w:val="00630EE6"/>
    <w:rsid w:val="00657B52"/>
    <w:rsid w:val="006D5DC1"/>
    <w:rsid w:val="00741E1B"/>
    <w:rsid w:val="007A66D0"/>
    <w:rsid w:val="008C70D0"/>
    <w:rsid w:val="008D2841"/>
    <w:rsid w:val="008D3107"/>
    <w:rsid w:val="009511DD"/>
    <w:rsid w:val="009B0E73"/>
    <w:rsid w:val="009C1505"/>
    <w:rsid w:val="009E6FA4"/>
    <w:rsid w:val="00A4275D"/>
    <w:rsid w:val="00A958E5"/>
    <w:rsid w:val="00AC3007"/>
    <w:rsid w:val="00AE19A7"/>
    <w:rsid w:val="00B13A7D"/>
    <w:rsid w:val="00B16858"/>
    <w:rsid w:val="00BE0956"/>
    <w:rsid w:val="00C072BC"/>
    <w:rsid w:val="00C101A8"/>
    <w:rsid w:val="00C937B6"/>
    <w:rsid w:val="00D17D80"/>
    <w:rsid w:val="00D3015C"/>
    <w:rsid w:val="00D937EA"/>
    <w:rsid w:val="00E24DBC"/>
    <w:rsid w:val="00E65BD8"/>
    <w:rsid w:val="00E86AAE"/>
    <w:rsid w:val="00E941E5"/>
    <w:rsid w:val="00ED3A4B"/>
    <w:rsid w:val="00F432C1"/>
    <w:rsid w:val="00F5226E"/>
    <w:rsid w:val="00F529F0"/>
    <w:rsid w:val="00F61C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3D3F07"/>
  <w14:defaultImageDpi w14:val="300"/>
  <w15:docId w15:val="{C9FD9218-28AA-414A-B87E-CBDB144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4F5"/>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iPriority w:val="99"/>
    <w:unhideWhenUsed/>
    <w:rsid w:val="009C15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s-frb.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1STANDARD\WordTemplates\Funds\Existing_templates\811140_Courtin-Bouch&#233;_FR_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3" ma:contentTypeDescription="Create a new document." ma:contentTypeScope="" ma:versionID="e1f9f28b1a8777e86a4b10934f8c2a4b">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9e0ab9e98d4c609c51a69da4404162a0"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153BD5-896A-4404-B167-03EED8DC4F91}">
  <ds:schemaRefs>
    <ds:schemaRef ds:uri="http://schemas.openxmlformats.org/officeDocument/2006/bibliography"/>
  </ds:schemaRefs>
</ds:datastoreItem>
</file>

<file path=customXml/itemProps2.xml><?xml version="1.0" encoding="utf-8"?>
<ds:datastoreItem xmlns:ds="http://schemas.openxmlformats.org/officeDocument/2006/customXml" ds:itemID="{76578CD5-1721-43E0-9CCB-E6F673298E82}">
  <ds:schemaRefs>
    <ds:schemaRef ds:uri="http://schemas.microsoft.com/sharepoint/v3/contenttype/forms"/>
  </ds:schemaRefs>
</ds:datastoreItem>
</file>

<file path=customXml/itemProps3.xml><?xml version="1.0" encoding="utf-8"?>
<ds:datastoreItem xmlns:ds="http://schemas.openxmlformats.org/officeDocument/2006/customXml" ds:itemID="{1FB2338A-AD56-4793-8D28-C0D8E5BFDCC7}"/>
</file>

<file path=customXml/itemProps4.xml><?xml version="1.0" encoding="utf-8"?>
<ds:datastoreItem xmlns:ds="http://schemas.openxmlformats.org/officeDocument/2006/customXml" ds:itemID="{8BFCCFAE-7DED-4FCF-9D4C-6137E4D45B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811140_Courtin-Bouché_FR_GD</Template>
  <TotalTime>0</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18</cp:revision>
  <cp:lastPrinted>2013-09-10T06:45:00Z</cp:lastPrinted>
  <dcterms:created xsi:type="dcterms:W3CDTF">2020-01-14T08:06:00Z</dcterms:created>
  <dcterms:modified xsi:type="dcterms:W3CDTF">2022-01-25T14:53:00Z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410400</vt:r8>
  </property>
</Properties>
</file>